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pPr w:leftFromText="181" w:rightFromText="181" w:vertAnchor="page" w:horzAnchor="page" w:tblpX="1135" w:tblpY="2156"/>
        <w:tblW w:w="9923" w:type="dxa"/>
        <w:tblInd w:w="108" w:type="dxa"/>
        <w:tblBorders>
          <w:top w:val="single" w:sz="8" w:space="0" w:color="00755C"/>
          <w:left w:val="none" w:sz="0" w:space="0" w:color="auto"/>
          <w:bottom w:val="single" w:sz="8" w:space="0" w:color="00755C"/>
          <w:right w:val="none" w:sz="0" w:space="0" w:color="auto"/>
          <w:insideH w:val="none" w:sz="0" w:space="0" w:color="auto"/>
          <w:insideV w:val="none" w:sz="0" w:space="0" w:color="auto"/>
        </w:tblBorders>
        <w:tblLayout w:type="fixed"/>
        <w:tblLook w:val="01E0"/>
      </w:tblPr>
      <w:tblGrid>
        <w:gridCol w:w="293"/>
        <w:gridCol w:w="642"/>
        <w:gridCol w:w="4168"/>
        <w:gridCol w:w="993"/>
        <w:gridCol w:w="850"/>
        <w:gridCol w:w="2977"/>
      </w:tblGrid>
      <w:tr w:rsidR="000B7EB5" w:rsidTr="000B7EB5">
        <w:trPr>
          <w:cantSplit/>
          <w:trHeight w:val="454"/>
        </w:trPr>
        <w:tc>
          <w:tcPr>
            <w:tcW w:w="293" w:type="dxa"/>
            <w:vMerge w:val="restart"/>
            <w:tcBorders>
              <w:top w:val="nil"/>
            </w:tcBorders>
          </w:tcPr>
          <w:p w:rsidR="000B7EB5" w:rsidRDefault="000B7EB5" w:rsidP="000B7EB5">
            <w:pPr>
              <w:pStyle w:val="TMDetailsTable"/>
            </w:pPr>
          </w:p>
        </w:tc>
        <w:tc>
          <w:tcPr>
            <w:tcW w:w="642" w:type="dxa"/>
            <w:tcBorders>
              <w:top w:val="nil"/>
              <w:bottom w:val="nil"/>
            </w:tcBorders>
            <w:tcMar>
              <w:left w:w="0" w:type="dxa"/>
              <w:right w:w="0" w:type="dxa"/>
            </w:tcMar>
          </w:tcPr>
          <w:p w:rsidR="000B7EB5" w:rsidRPr="006F0D77" w:rsidRDefault="000B7EB5" w:rsidP="000B7EB5">
            <w:pPr>
              <w:pStyle w:val="TMDetailsTable"/>
            </w:pPr>
            <w:r>
              <w:t>D</w:t>
            </w:r>
            <w:r w:rsidRPr="006F0D77">
              <w:t>ate</w:t>
            </w:r>
          </w:p>
        </w:tc>
        <w:tc>
          <w:tcPr>
            <w:tcW w:w="4168" w:type="dxa"/>
            <w:tcBorders>
              <w:top w:val="nil"/>
              <w:bottom w:val="nil"/>
            </w:tcBorders>
          </w:tcPr>
          <w:p w:rsidR="000B7EB5" w:rsidRDefault="002C17C3" w:rsidP="000B7EB5">
            <w:pPr>
              <w:pStyle w:val="TMdetailstext"/>
              <w:framePr w:hSpace="0" w:wrap="auto" w:vAnchor="margin" w:yAlign="inline"/>
            </w:pPr>
            <w:fldSimple w:instr=" DOCPROPERTY  date  \* MERGEFORMAT ">
              <w:r w:rsidR="00B5174B">
                <w:t>12 July 2012</w:t>
              </w:r>
            </w:fldSimple>
          </w:p>
        </w:tc>
        <w:tc>
          <w:tcPr>
            <w:tcW w:w="1843" w:type="dxa"/>
            <w:gridSpan w:val="2"/>
            <w:tcBorders>
              <w:top w:val="nil"/>
              <w:bottom w:val="nil"/>
            </w:tcBorders>
            <w:tcMar>
              <w:left w:w="0" w:type="dxa"/>
              <w:right w:w="0" w:type="dxa"/>
            </w:tcMar>
          </w:tcPr>
          <w:p w:rsidR="000B7EB5" w:rsidRDefault="002C17C3" w:rsidP="000B7EB5">
            <w:pPr>
              <w:pStyle w:val="TMDetailsTable"/>
            </w:pPr>
            <w:fldSimple w:instr=" DOCPROPERTY  TypeofNumber  \* MERGEFORMAT ">
              <w:r w:rsidR="00B5174B">
                <w:t>Reference</w:t>
              </w:r>
            </w:fldSimple>
            <w:r w:rsidR="000B7EB5">
              <w:t xml:space="preserve"> </w:t>
            </w:r>
            <w:r w:rsidR="000B7EB5" w:rsidRPr="00DC0F4E">
              <w:t>N</w:t>
            </w:r>
            <w:r w:rsidR="000B7EB5" w:rsidRPr="00A87853">
              <w:rPr>
                <w:caps w:val="0"/>
              </w:rPr>
              <w:t>o</w:t>
            </w:r>
            <w:r w:rsidR="000B7EB5">
              <w:t>.</w:t>
            </w:r>
          </w:p>
        </w:tc>
        <w:tc>
          <w:tcPr>
            <w:tcW w:w="2722" w:type="dxa"/>
            <w:tcBorders>
              <w:top w:val="nil"/>
              <w:bottom w:val="nil"/>
            </w:tcBorders>
          </w:tcPr>
          <w:p w:rsidR="000B7EB5" w:rsidRPr="00A87853" w:rsidRDefault="002C17C3" w:rsidP="000B7EB5">
            <w:pPr>
              <w:pStyle w:val="TMdetailstext"/>
              <w:framePr w:hSpace="0" w:wrap="auto" w:vAnchor="margin" w:yAlign="inline"/>
            </w:pPr>
            <w:r>
              <w:fldChar w:fldCharType="begin"/>
            </w:r>
            <w:r w:rsidR="000813E8">
              <w:instrText xml:space="preserve"> DOCPROPERTY  Project  \* MERGEFORMAT </w:instrText>
            </w:r>
            <w:r>
              <w:fldChar w:fldCharType="separate"/>
            </w:r>
            <w:r w:rsidR="00B5174B">
              <w:t xml:space="preserve">127613050 002 TM </w:t>
            </w:r>
            <w:proofErr w:type="spellStart"/>
            <w:r w:rsidR="00B5174B">
              <w:t>RevA</w:t>
            </w:r>
            <w:proofErr w:type="spellEnd"/>
            <w:r>
              <w:fldChar w:fldCharType="end"/>
            </w:r>
          </w:p>
        </w:tc>
      </w:tr>
      <w:tr w:rsidR="000B7EB5" w:rsidTr="000B7EB5">
        <w:trPr>
          <w:cantSplit/>
          <w:trHeight w:val="454"/>
        </w:trPr>
        <w:tc>
          <w:tcPr>
            <w:tcW w:w="293" w:type="dxa"/>
            <w:vMerge/>
          </w:tcPr>
          <w:p w:rsidR="000B7EB5" w:rsidRDefault="000B7EB5" w:rsidP="000B7EB5">
            <w:pPr>
              <w:pStyle w:val="TMDetailsTable"/>
            </w:pPr>
          </w:p>
        </w:tc>
        <w:tc>
          <w:tcPr>
            <w:tcW w:w="642" w:type="dxa"/>
            <w:tcBorders>
              <w:top w:val="nil"/>
              <w:bottom w:val="nil"/>
            </w:tcBorders>
            <w:tcMar>
              <w:left w:w="0" w:type="dxa"/>
              <w:right w:w="0" w:type="dxa"/>
            </w:tcMar>
          </w:tcPr>
          <w:p w:rsidR="000B7EB5" w:rsidRDefault="000B7EB5" w:rsidP="000B7EB5">
            <w:pPr>
              <w:pStyle w:val="TMDetailsTable"/>
            </w:pPr>
            <w:r>
              <w:t>To</w:t>
            </w:r>
          </w:p>
        </w:tc>
        <w:tc>
          <w:tcPr>
            <w:tcW w:w="8988" w:type="dxa"/>
            <w:gridSpan w:val="4"/>
            <w:tcBorders>
              <w:top w:val="nil"/>
            </w:tcBorders>
          </w:tcPr>
          <w:p w:rsidR="000B7EB5" w:rsidRDefault="002C17C3" w:rsidP="000B7EB5">
            <w:pPr>
              <w:pStyle w:val="TMdetailstext"/>
              <w:framePr w:hSpace="0" w:wrap="auto" w:vAnchor="margin" w:yAlign="inline"/>
            </w:pPr>
            <w:r>
              <w:fldChar w:fldCharType="begin"/>
            </w:r>
            <w:r>
              <w:instrText xml:space="preserve"> DOCPROPERTY  Memo_to  \* MERGEFORMAT </w:instrText>
            </w:r>
            <w:r>
              <w:fldChar w:fldCharType="separate"/>
            </w:r>
            <w:proofErr w:type="spellStart"/>
            <w:r w:rsidR="00B5174B">
              <w:t>Hari</w:t>
            </w:r>
            <w:proofErr w:type="spellEnd"/>
            <w:r w:rsidR="00B5174B">
              <w:t xml:space="preserve"> </w:t>
            </w:r>
            <w:proofErr w:type="spellStart"/>
            <w:r w:rsidR="00B5174B">
              <w:t>Kiran</w:t>
            </w:r>
            <w:proofErr w:type="spellEnd"/>
            <w:r w:rsidR="00B5174B">
              <w:t xml:space="preserve"> </w:t>
            </w:r>
            <w:proofErr w:type="spellStart"/>
            <w:r w:rsidR="00B5174B">
              <w:t>Vadlamani</w:t>
            </w:r>
            <w:proofErr w:type="spellEnd"/>
            <w:r w:rsidR="00B5174B">
              <w:t xml:space="preserve"> </w:t>
            </w:r>
            <w:r>
              <w:fldChar w:fldCharType="end"/>
            </w:r>
          </w:p>
          <w:p w:rsidR="000B7EB5" w:rsidRPr="00770F74" w:rsidRDefault="002C17C3" w:rsidP="000B7EB5">
            <w:pPr>
              <w:pStyle w:val="TMdetailstext"/>
              <w:framePr w:hSpace="0" w:wrap="auto" w:vAnchor="margin" w:yAlign="inline"/>
            </w:pPr>
            <w:r>
              <w:fldChar w:fldCharType="begin"/>
            </w:r>
            <w:r w:rsidR="000B7EB5">
              <w:instrText xml:space="preserve"> DOCPROPERTY  "Recipient Company"  \* MERGEFORMAT </w:instrText>
            </w:r>
            <w:r>
              <w:fldChar w:fldCharType="separate"/>
            </w:r>
            <w:proofErr w:type="spellStart"/>
            <w:r w:rsidR="00B5174B">
              <w:t>Indicoal</w:t>
            </w:r>
            <w:proofErr w:type="spellEnd"/>
            <w:r w:rsidR="00B5174B">
              <w:t xml:space="preserve"> Mining Australia Pty Ltd</w:t>
            </w:r>
            <w:r>
              <w:fldChar w:fldCharType="end"/>
            </w:r>
          </w:p>
        </w:tc>
      </w:tr>
      <w:tr w:rsidR="000B7EB5" w:rsidTr="000B7EB5">
        <w:trPr>
          <w:cantSplit/>
          <w:trHeight w:val="454"/>
        </w:trPr>
        <w:tc>
          <w:tcPr>
            <w:tcW w:w="293" w:type="dxa"/>
            <w:vMerge/>
          </w:tcPr>
          <w:p w:rsidR="000B7EB5" w:rsidRDefault="000B7EB5" w:rsidP="000B7EB5">
            <w:pPr>
              <w:pStyle w:val="TMDetailsTable"/>
            </w:pPr>
          </w:p>
        </w:tc>
        <w:tc>
          <w:tcPr>
            <w:tcW w:w="642" w:type="dxa"/>
            <w:tcBorders>
              <w:top w:val="nil"/>
              <w:bottom w:val="nil"/>
            </w:tcBorders>
            <w:tcMar>
              <w:left w:w="0" w:type="dxa"/>
              <w:right w:w="0" w:type="dxa"/>
            </w:tcMar>
            <w:vAlign w:val="center"/>
          </w:tcPr>
          <w:p w:rsidR="000B7EB5" w:rsidRDefault="000B7EB5" w:rsidP="000B7EB5">
            <w:pPr>
              <w:pStyle w:val="TMDetailsTable"/>
            </w:pPr>
            <w:r>
              <w:t>CC</w:t>
            </w:r>
          </w:p>
        </w:tc>
        <w:tc>
          <w:tcPr>
            <w:tcW w:w="8988" w:type="dxa"/>
            <w:gridSpan w:val="4"/>
            <w:vAlign w:val="center"/>
          </w:tcPr>
          <w:p w:rsidR="000B7EB5" w:rsidRPr="00770F74" w:rsidRDefault="002C17C3" w:rsidP="000B7EB5">
            <w:pPr>
              <w:pStyle w:val="TMdetailstext"/>
              <w:framePr w:hSpace="0" w:wrap="auto" w:vAnchor="margin" w:yAlign="inline"/>
            </w:pPr>
            <w:fldSimple w:instr=" DOCPROPERTY  Memo_Copy  \* MERGEFORMAT ">
              <w:r w:rsidR="00B5174B">
                <w:t>Rebecca Powlett, Alice Greenhill, Cameron Robertson, Grant Fleming</w:t>
              </w:r>
            </w:fldSimple>
          </w:p>
        </w:tc>
      </w:tr>
      <w:tr w:rsidR="000B7EB5" w:rsidTr="000B7EB5">
        <w:trPr>
          <w:cantSplit/>
          <w:trHeight w:val="454"/>
        </w:trPr>
        <w:tc>
          <w:tcPr>
            <w:tcW w:w="293" w:type="dxa"/>
            <w:vMerge/>
          </w:tcPr>
          <w:p w:rsidR="000B7EB5" w:rsidRDefault="000B7EB5" w:rsidP="000B7EB5">
            <w:pPr>
              <w:pStyle w:val="TMDetailsTable"/>
            </w:pPr>
          </w:p>
        </w:tc>
        <w:tc>
          <w:tcPr>
            <w:tcW w:w="642" w:type="dxa"/>
            <w:tcBorders>
              <w:top w:val="nil"/>
              <w:bottom w:val="nil"/>
            </w:tcBorders>
            <w:tcMar>
              <w:left w:w="0" w:type="dxa"/>
              <w:right w:w="0" w:type="dxa"/>
            </w:tcMar>
            <w:vAlign w:val="center"/>
          </w:tcPr>
          <w:p w:rsidR="000B7EB5" w:rsidRDefault="000B7EB5" w:rsidP="000B7EB5">
            <w:pPr>
              <w:pStyle w:val="TMDetailsTable"/>
            </w:pPr>
            <w:r>
              <w:t>From</w:t>
            </w:r>
          </w:p>
        </w:tc>
        <w:tc>
          <w:tcPr>
            <w:tcW w:w="5161" w:type="dxa"/>
            <w:gridSpan w:val="2"/>
            <w:tcBorders>
              <w:bottom w:val="nil"/>
            </w:tcBorders>
            <w:vAlign w:val="center"/>
          </w:tcPr>
          <w:p w:rsidR="000B7EB5" w:rsidRDefault="002C17C3" w:rsidP="000B7EB5">
            <w:pPr>
              <w:pStyle w:val="TMdetailstext"/>
              <w:framePr w:hSpace="0" w:wrap="auto" w:vAnchor="margin" w:yAlign="inline"/>
            </w:pPr>
            <w:fldSimple w:instr=" DOCPROPERTY  Memo_From  \* MERGEFORMAT ">
              <w:r w:rsidR="00B5174B">
                <w:t>Cary Ehrman</w:t>
              </w:r>
            </w:fldSimple>
          </w:p>
        </w:tc>
        <w:tc>
          <w:tcPr>
            <w:tcW w:w="850" w:type="dxa"/>
            <w:tcBorders>
              <w:bottom w:val="nil"/>
            </w:tcBorders>
            <w:tcMar>
              <w:left w:w="0" w:type="dxa"/>
              <w:right w:w="0" w:type="dxa"/>
            </w:tcMar>
            <w:vAlign w:val="center"/>
          </w:tcPr>
          <w:p w:rsidR="000B7EB5" w:rsidRDefault="000B7EB5" w:rsidP="000B7EB5">
            <w:pPr>
              <w:pStyle w:val="TMDetailsTable"/>
            </w:pPr>
            <w:r>
              <w:t>Email</w:t>
            </w:r>
          </w:p>
        </w:tc>
        <w:tc>
          <w:tcPr>
            <w:tcW w:w="2977" w:type="dxa"/>
            <w:tcBorders>
              <w:bottom w:val="nil"/>
            </w:tcBorders>
            <w:vAlign w:val="center"/>
          </w:tcPr>
          <w:p w:rsidR="000B7EB5" w:rsidRDefault="002C17C3" w:rsidP="000B7EB5">
            <w:pPr>
              <w:pStyle w:val="TMdetailstext"/>
              <w:framePr w:hSpace="0" w:wrap="auto" w:vAnchor="margin" w:yAlign="inline"/>
            </w:pPr>
            <w:fldSimple w:instr=" DOCPROPERTY  email_address  \* MERGEFORMAT ">
              <w:r w:rsidR="00B5174B">
                <w:t>cehrman@golder.com.au</w:t>
              </w:r>
            </w:fldSimple>
          </w:p>
        </w:tc>
      </w:tr>
      <w:tr w:rsidR="000B7EB5" w:rsidTr="000B7EB5">
        <w:trPr>
          <w:cantSplit/>
          <w:trHeight w:val="454"/>
        </w:trPr>
        <w:tc>
          <w:tcPr>
            <w:tcW w:w="293" w:type="dxa"/>
            <w:vMerge/>
          </w:tcPr>
          <w:p w:rsidR="000B7EB5" w:rsidRPr="003C6541" w:rsidRDefault="000B7EB5" w:rsidP="000B7EB5">
            <w:pPr>
              <w:pStyle w:val="Reference"/>
            </w:pPr>
          </w:p>
        </w:tc>
        <w:tc>
          <w:tcPr>
            <w:tcW w:w="9630" w:type="dxa"/>
            <w:gridSpan w:val="5"/>
            <w:tcBorders>
              <w:top w:val="nil"/>
              <w:bottom w:val="nil"/>
            </w:tcBorders>
            <w:tcMar>
              <w:left w:w="0" w:type="dxa"/>
            </w:tcMar>
            <w:vAlign w:val="center"/>
          </w:tcPr>
          <w:p w:rsidR="000B7EB5" w:rsidRPr="003C6541" w:rsidRDefault="000813E8" w:rsidP="007C60B2">
            <w:pPr>
              <w:pStyle w:val="Reference"/>
            </w:pPr>
            <w:r>
              <w:t>draft project descr</w:t>
            </w:r>
            <w:r w:rsidR="00B35737">
              <w:t>i</w:t>
            </w:r>
            <w:r>
              <w:t>ption</w:t>
            </w:r>
            <w:r w:rsidR="00B35737">
              <w:t xml:space="preserve"> – langloh project</w:t>
            </w:r>
          </w:p>
        </w:tc>
      </w:tr>
      <w:tr w:rsidR="000B7EB5" w:rsidRPr="00380389" w:rsidTr="00B35737">
        <w:trPr>
          <w:cantSplit/>
          <w:trHeight w:val="61"/>
        </w:trPr>
        <w:tc>
          <w:tcPr>
            <w:tcW w:w="293" w:type="dxa"/>
            <w:vMerge/>
            <w:tcBorders>
              <w:bottom w:val="nil"/>
            </w:tcBorders>
          </w:tcPr>
          <w:p w:rsidR="000B7EB5" w:rsidRDefault="000B7EB5" w:rsidP="000B7EB5">
            <w:pPr>
              <w:pStyle w:val="SpacerRows"/>
              <w:framePr w:hSpace="0" w:wrap="auto" w:vAnchor="margin" w:hAnchor="text" w:xAlign="left" w:yAlign="inline"/>
            </w:pPr>
          </w:p>
        </w:tc>
        <w:tc>
          <w:tcPr>
            <w:tcW w:w="9630" w:type="dxa"/>
            <w:gridSpan w:val="5"/>
            <w:tcBorders>
              <w:top w:val="nil"/>
              <w:bottom w:val="single" w:sz="8" w:space="0" w:color="00755C"/>
            </w:tcBorders>
            <w:tcMar>
              <w:left w:w="0" w:type="dxa"/>
            </w:tcMar>
            <w:vAlign w:val="center"/>
          </w:tcPr>
          <w:p w:rsidR="000B7EB5" w:rsidRDefault="000B7EB5" w:rsidP="00B35737">
            <w:pPr>
              <w:pStyle w:val="SpacerRows"/>
              <w:framePr w:hSpace="0" w:wrap="auto" w:vAnchor="margin" w:hAnchor="text" w:xAlign="left" w:yAlign="inline"/>
              <w:spacing w:after="0" w:line="240" w:lineRule="auto"/>
            </w:pPr>
          </w:p>
        </w:tc>
      </w:tr>
    </w:tbl>
    <w:p w:rsidR="00B47DF1" w:rsidRDefault="00B47DF1" w:rsidP="00330A48">
      <w:pPr>
        <w:pStyle w:val="SectionBreak"/>
      </w:pPr>
    </w:p>
    <w:p w:rsidR="00121077" w:rsidRDefault="00121077" w:rsidP="009003DE">
      <w:pPr>
        <w:sectPr w:rsidR="00121077" w:rsidSect="008C28E0">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1392" w:right="851" w:bottom="1701" w:left="1418" w:header="567" w:footer="425" w:gutter="0"/>
          <w:pgNumType w:start="1"/>
          <w:cols w:space="708"/>
          <w:titlePg/>
          <w:docGrid w:linePitch="360"/>
        </w:sectPr>
      </w:pPr>
    </w:p>
    <w:p w:rsidR="00B35737" w:rsidRDefault="000813E8" w:rsidP="005E0961">
      <w:pPr>
        <w:spacing w:after="240"/>
        <w:rPr>
          <w:szCs w:val="20"/>
        </w:rPr>
      </w:pPr>
      <w:bookmarkStart w:id="10" w:name="start"/>
      <w:bookmarkEnd w:id="10"/>
      <w:r w:rsidRPr="007529E6">
        <w:rPr>
          <w:szCs w:val="20"/>
        </w:rPr>
        <w:lastRenderedPageBreak/>
        <w:t xml:space="preserve">This document has been prepared </w:t>
      </w:r>
      <w:r w:rsidR="00B35737">
        <w:rPr>
          <w:szCs w:val="20"/>
        </w:rPr>
        <w:t xml:space="preserve">by Golder Associates Pty Ltd (Golder) </w:t>
      </w:r>
      <w:r w:rsidRPr="007529E6">
        <w:rPr>
          <w:szCs w:val="20"/>
        </w:rPr>
        <w:t xml:space="preserve">to provide </w:t>
      </w:r>
      <w:r>
        <w:rPr>
          <w:szCs w:val="20"/>
        </w:rPr>
        <w:t>the draft Project Description for the Langloh Project for review by Indicoal Mining Australia Pty Ltd (Indicoal)</w:t>
      </w:r>
      <w:r w:rsidRPr="007529E6">
        <w:rPr>
          <w:szCs w:val="20"/>
        </w:rPr>
        <w:t>.</w:t>
      </w:r>
      <w:r>
        <w:rPr>
          <w:szCs w:val="20"/>
        </w:rPr>
        <w:t xml:space="preserve"> </w:t>
      </w:r>
    </w:p>
    <w:p w:rsidR="00B35737" w:rsidRDefault="000813E8" w:rsidP="005E0961">
      <w:pPr>
        <w:spacing w:after="240"/>
        <w:rPr>
          <w:szCs w:val="20"/>
        </w:rPr>
      </w:pPr>
      <w:r>
        <w:rPr>
          <w:szCs w:val="20"/>
        </w:rPr>
        <w:t xml:space="preserve">When authorised for use by Indicoal, the Project Description will be used in the Notice of Intent and EIA scoping process, as well as to support consultation with consultation with regulators </w:t>
      </w:r>
      <w:r w:rsidRPr="000813E8">
        <w:rPr>
          <w:szCs w:val="20"/>
        </w:rPr>
        <w:t>such as the MRT, EPA and Central High</w:t>
      </w:r>
      <w:r>
        <w:rPr>
          <w:szCs w:val="20"/>
        </w:rPr>
        <w:t xml:space="preserve">lands Council. </w:t>
      </w:r>
    </w:p>
    <w:p w:rsidR="000813E8" w:rsidRDefault="000813E8" w:rsidP="005E0961">
      <w:pPr>
        <w:spacing w:after="240"/>
        <w:rPr>
          <w:szCs w:val="20"/>
        </w:rPr>
      </w:pPr>
      <w:r>
        <w:rPr>
          <w:szCs w:val="20"/>
        </w:rPr>
        <w:t xml:space="preserve">Much of the information </w:t>
      </w:r>
      <w:r w:rsidR="00B35737">
        <w:rPr>
          <w:szCs w:val="20"/>
        </w:rPr>
        <w:t xml:space="preserve">presented herein </w:t>
      </w:r>
      <w:r>
        <w:rPr>
          <w:szCs w:val="20"/>
        </w:rPr>
        <w:t xml:space="preserve">has been sourced from the Langloh Concept Mining Study prepared by Golder for the </w:t>
      </w:r>
      <w:r w:rsidRPr="000813E8">
        <w:rPr>
          <w:szCs w:val="20"/>
        </w:rPr>
        <w:t>Black Rock Energy Australia Pty Ltd</w:t>
      </w:r>
      <w:r>
        <w:rPr>
          <w:szCs w:val="20"/>
        </w:rPr>
        <w:t xml:space="preserve"> (Golder Ref 117621029 001 </w:t>
      </w:r>
      <w:r w:rsidR="00B35737">
        <w:rPr>
          <w:szCs w:val="20"/>
        </w:rPr>
        <w:t xml:space="preserve">R </w:t>
      </w:r>
      <w:r>
        <w:rPr>
          <w:szCs w:val="20"/>
        </w:rPr>
        <w:t>Rev A dated 20 March 2012).</w:t>
      </w:r>
    </w:p>
    <w:p w:rsidR="000813E8" w:rsidRDefault="00B35737" w:rsidP="005E0961">
      <w:pPr>
        <w:spacing w:after="240"/>
        <w:rPr>
          <w:szCs w:val="20"/>
        </w:rPr>
      </w:pPr>
      <w:r>
        <w:rPr>
          <w:szCs w:val="20"/>
        </w:rPr>
        <w:t>This submittal is provided in accordance with our proposal P17613396 001 L Rev 4 dated 23 March 2012.</w:t>
      </w:r>
    </w:p>
    <w:p w:rsidR="00F83AC3" w:rsidRPr="00F83AC3" w:rsidRDefault="00B35737" w:rsidP="00251F69">
      <w:pPr>
        <w:pStyle w:val="Heading1Normal"/>
      </w:pPr>
      <w:bookmarkStart w:id="11" w:name="_Toc325370814"/>
      <w:bookmarkEnd w:id="11"/>
      <w:r>
        <w:t>Background</w:t>
      </w:r>
    </w:p>
    <w:p w:rsidR="00115B31" w:rsidRDefault="00F83AC3" w:rsidP="005E0961">
      <w:pPr>
        <w:spacing w:after="240"/>
        <w:rPr>
          <w:noProof/>
        </w:rPr>
      </w:pPr>
      <w:r w:rsidRPr="00F83AC3">
        <w:rPr>
          <w:szCs w:val="24"/>
        </w:rPr>
        <w:t>Indicoal Mining Australia Pty Ltd (Indicoal) is proposing to develop the Langloh coal deposit (the Langloh Proj</w:t>
      </w:r>
      <w:r w:rsidR="00B35737">
        <w:rPr>
          <w:szCs w:val="24"/>
        </w:rPr>
        <w:t xml:space="preserve">ect) within </w:t>
      </w:r>
      <w:r w:rsidR="00115B31">
        <w:rPr>
          <w:szCs w:val="24"/>
        </w:rPr>
        <w:t xml:space="preserve">the Langloh </w:t>
      </w:r>
      <w:r w:rsidR="00B35737">
        <w:rPr>
          <w:szCs w:val="24"/>
        </w:rPr>
        <w:t xml:space="preserve">Exploration </w:t>
      </w:r>
      <w:r w:rsidR="00115B31">
        <w:rPr>
          <w:szCs w:val="24"/>
        </w:rPr>
        <w:t>Lease</w:t>
      </w:r>
      <w:r w:rsidR="00B35737">
        <w:rPr>
          <w:szCs w:val="24"/>
        </w:rPr>
        <w:t xml:space="preserve"> (EL) 2</w:t>
      </w:r>
      <w:r w:rsidR="00305D0F">
        <w:rPr>
          <w:szCs w:val="24"/>
        </w:rPr>
        <w:t>8</w:t>
      </w:r>
      <w:r w:rsidR="00B35737">
        <w:rPr>
          <w:szCs w:val="24"/>
        </w:rPr>
        <w:t>/2008, located</w:t>
      </w:r>
      <w:r w:rsidRPr="00F83AC3">
        <w:rPr>
          <w:szCs w:val="24"/>
        </w:rPr>
        <w:t xml:space="preserve"> approximately </w:t>
      </w:r>
      <w:r w:rsidR="00B35737">
        <w:rPr>
          <w:szCs w:val="24"/>
        </w:rPr>
        <w:t xml:space="preserve">3km west of Hamilton, Tasmania. </w:t>
      </w:r>
      <w:r w:rsidR="00B35737">
        <w:rPr>
          <w:noProof/>
        </w:rPr>
        <w:t>Black Rock Energy Pty Ltd (BRE) is the holder of EL 2</w:t>
      </w:r>
      <w:r w:rsidR="00305D0F">
        <w:rPr>
          <w:noProof/>
        </w:rPr>
        <w:t>8</w:t>
      </w:r>
      <w:r w:rsidR="00B35737">
        <w:rPr>
          <w:noProof/>
        </w:rPr>
        <w:t>/2008.</w:t>
      </w:r>
      <w:r w:rsidR="00B35737" w:rsidRPr="00B35737">
        <w:rPr>
          <w:noProof/>
        </w:rPr>
        <w:t xml:space="preserve"> </w:t>
      </w:r>
    </w:p>
    <w:p w:rsidR="00B35737" w:rsidRDefault="00B35737" w:rsidP="005E0961">
      <w:pPr>
        <w:spacing w:after="240"/>
        <w:rPr>
          <w:szCs w:val="24"/>
        </w:rPr>
      </w:pPr>
      <w:r>
        <w:rPr>
          <w:noProof/>
        </w:rPr>
        <w:t xml:space="preserve">BRE </w:t>
      </w:r>
      <w:r w:rsidR="00FF22E6">
        <w:rPr>
          <w:noProof/>
        </w:rPr>
        <w:t>engaged</w:t>
      </w:r>
      <w:r>
        <w:rPr>
          <w:noProof/>
        </w:rPr>
        <w:t xml:space="preserve"> Golder Associates Pty Ltd (Golder) </w:t>
      </w:r>
      <w:r w:rsidR="00FF22E6">
        <w:rPr>
          <w:noProof/>
        </w:rPr>
        <w:t xml:space="preserve">to </w:t>
      </w:r>
      <w:r>
        <w:rPr>
          <w:noProof/>
        </w:rPr>
        <w:t xml:space="preserve">undertake a study of this deposit addressing </w:t>
      </w:r>
      <w:r w:rsidR="00FF22E6">
        <w:rPr>
          <w:noProof/>
        </w:rPr>
        <w:t xml:space="preserve">the </w:t>
      </w:r>
      <w:r>
        <w:rPr>
          <w:noProof/>
        </w:rPr>
        <w:t>geological, mining and infrastructure plans in order to sup</w:t>
      </w:r>
      <w:r w:rsidR="00FF22E6">
        <w:rPr>
          <w:noProof/>
        </w:rPr>
        <w:t xml:space="preserve">port a mining lease application. The findings of this study are presented in the Langloh Deposit Concept Mining Study (Golder Ref 117621029 001 R Rev A dated 20 March 2012). </w:t>
      </w:r>
      <w:r w:rsidR="00FF22E6">
        <w:rPr>
          <w:szCs w:val="20"/>
        </w:rPr>
        <w:t>Much of the information presented herein has been sourced from this study.</w:t>
      </w:r>
    </w:p>
    <w:p w:rsidR="00B35737" w:rsidRDefault="00FF22E6" w:rsidP="00B6344F">
      <w:pPr>
        <w:pStyle w:val="Heading1Normal"/>
      </w:pPr>
      <w:r>
        <w:t>Project Components</w:t>
      </w:r>
    </w:p>
    <w:p w:rsidR="00FF22E6" w:rsidRPr="00F83AC3" w:rsidRDefault="00F83AC3" w:rsidP="005E0961">
      <w:pPr>
        <w:spacing w:after="240"/>
        <w:rPr>
          <w:szCs w:val="24"/>
        </w:rPr>
      </w:pPr>
      <w:r w:rsidRPr="00F83AC3">
        <w:rPr>
          <w:szCs w:val="24"/>
        </w:rPr>
        <w:t xml:space="preserve">The Langloh Project is planned to be a conventional open cut mine of a thermal coal resource that could be supplied to both domestic and export consumers. </w:t>
      </w:r>
      <w:r w:rsidR="00FF22E6" w:rsidRPr="00F83AC3">
        <w:rPr>
          <w:szCs w:val="24"/>
        </w:rPr>
        <w:t>The project is estimated from known, indicated and inferred coal reserves to have an area of 870 hectares. Ground disturbance is expected to occur over this total area.</w:t>
      </w:r>
    </w:p>
    <w:p w:rsidR="00FF22E6" w:rsidRDefault="00F83AC3" w:rsidP="005E0961">
      <w:pPr>
        <w:spacing w:after="240"/>
        <w:rPr>
          <w:szCs w:val="24"/>
        </w:rPr>
      </w:pPr>
      <w:r w:rsidRPr="00F83AC3">
        <w:rPr>
          <w:szCs w:val="24"/>
        </w:rPr>
        <w:t xml:space="preserve">The footprint of the Langloh Project is shown in Figure 1. </w:t>
      </w:r>
    </w:p>
    <w:p w:rsidR="00F83AC3" w:rsidRPr="00F83AC3" w:rsidRDefault="00F83AC3" w:rsidP="005E0961">
      <w:pPr>
        <w:spacing w:after="240"/>
        <w:rPr>
          <w:szCs w:val="24"/>
        </w:rPr>
      </w:pPr>
      <w:r w:rsidRPr="00F83AC3">
        <w:rPr>
          <w:szCs w:val="24"/>
        </w:rPr>
        <w:t xml:space="preserve">A small open cut mine, the Kimbolton Mine owned by Cornwall Crown Company (CCC), currently operates adjacent to the Langloh Project area within </w:t>
      </w:r>
      <w:r w:rsidR="00115B31">
        <w:rPr>
          <w:szCs w:val="24"/>
        </w:rPr>
        <w:t>ES 2</w:t>
      </w:r>
      <w:r w:rsidR="002F351A">
        <w:rPr>
          <w:szCs w:val="24"/>
        </w:rPr>
        <w:t>8</w:t>
      </w:r>
      <w:r w:rsidR="00115B31">
        <w:rPr>
          <w:szCs w:val="24"/>
        </w:rPr>
        <w:t>/2008 (Lease 1679)</w:t>
      </w:r>
      <w:r w:rsidRPr="00F83AC3">
        <w:rPr>
          <w:szCs w:val="24"/>
        </w:rPr>
        <w:t>.</w:t>
      </w:r>
    </w:p>
    <w:p w:rsidR="00B35737" w:rsidRDefault="00B35737" w:rsidP="00B35737">
      <w:pPr>
        <w:rPr>
          <w:szCs w:val="24"/>
        </w:rPr>
      </w:pPr>
      <w:bookmarkStart w:id="12" w:name="_Toc325370850"/>
      <w:bookmarkStart w:id="13" w:name="_Toc325370859"/>
      <w:bookmarkStart w:id="14" w:name="_Toc325370868"/>
      <w:bookmarkStart w:id="15" w:name="_Toc325370876"/>
      <w:bookmarkStart w:id="16" w:name="_Toc325370993"/>
      <w:bookmarkStart w:id="17" w:name="_Toc325371008"/>
      <w:bookmarkStart w:id="18" w:name="_Toc325371022"/>
      <w:bookmarkStart w:id="19" w:name="_Toc325371033"/>
      <w:bookmarkStart w:id="20" w:name="_Toc325460046"/>
      <w:bookmarkStart w:id="21" w:name="_Toc325460059"/>
      <w:bookmarkStart w:id="22" w:name="_Toc325461129"/>
      <w:bookmarkStart w:id="23" w:name="_Toc325461151"/>
      <w:bookmarkStart w:id="24" w:name="_Toc325461166"/>
      <w:bookmarkStart w:id="25" w:name="_Toc325461182"/>
      <w:bookmarkStart w:id="26" w:name="_Toc325463680"/>
      <w:bookmarkStart w:id="27" w:name="_Toc325463695"/>
    </w:p>
    <w:p w:rsidR="00251F69" w:rsidRDefault="00251F69" w:rsidP="00B35737">
      <w:pPr>
        <w:rPr>
          <w:szCs w:val="24"/>
        </w:rPr>
      </w:pPr>
    </w:p>
    <w:p w:rsidR="00FF22E6" w:rsidRPr="00F83AC3" w:rsidRDefault="00FF22E6" w:rsidP="00FF22E6">
      <w:pPr>
        <w:tabs>
          <w:tab w:val="left" w:pos="851"/>
        </w:tabs>
        <w:spacing w:after="0" w:line="240" w:lineRule="auto"/>
        <w:rPr>
          <w:b/>
          <w:bCs/>
          <w:szCs w:val="20"/>
        </w:rPr>
      </w:pPr>
      <w:r w:rsidRPr="00F83AC3">
        <w:rPr>
          <w:b/>
          <w:bCs/>
          <w:szCs w:val="20"/>
        </w:rPr>
        <w:lastRenderedPageBreak/>
        <w:t xml:space="preserve">Figure </w:t>
      </w:r>
      <w:r w:rsidR="002C17C3" w:rsidRPr="00F83AC3">
        <w:rPr>
          <w:b/>
          <w:bCs/>
          <w:szCs w:val="20"/>
        </w:rPr>
        <w:fldChar w:fldCharType="begin"/>
      </w:r>
      <w:r w:rsidRPr="00F83AC3">
        <w:rPr>
          <w:b/>
          <w:bCs/>
          <w:szCs w:val="20"/>
        </w:rPr>
        <w:instrText xml:space="preserve"> SEQ Figure \* ARABIC </w:instrText>
      </w:r>
      <w:r w:rsidR="002C17C3" w:rsidRPr="00F83AC3">
        <w:rPr>
          <w:b/>
          <w:bCs/>
          <w:szCs w:val="20"/>
        </w:rPr>
        <w:fldChar w:fldCharType="separate"/>
      </w:r>
      <w:r w:rsidR="00B5174B">
        <w:rPr>
          <w:b/>
          <w:bCs/>
          <w:noProof/>
          <w:szCs w:val="20"/>
        </w:rPr>
        <w:t>1</w:t>
      </w:r>
      <w:r w:rsidR="002C17C3" w:rsidRPr="00F83AC3">
        <w:rPr>
          <w:b/>
          <w:bCs/>
          <w:szCs w:val="20"/>
        </w:rPr>
        <w:fldChar w:fldCharType="end"/>
      </w:r>
      <w:r w:rsidRPr="00F83AC3">
        <w:rPr>
          <w:b/>
          <w:bCs/>
          <w:szCs w:val="20"/>
        </w:rPr>
        <w:t xml:space="preserve"> Langloh Project</w:t>
      </w:r>
    </w:p>
    <w:p w:rsidR="00B35737" w:rsidRDefault="00FF22E6" w:rsidP="00FF22E6">
      <w:pPr>
        <w:keepNext/>
        <w:numPr>
          <w:ilvl w:val="1"/>
          <w:numId w:val="0"/>
        </w:numPr>
        <w:tabs>
          <w:tab w:val="left" w:pos="964"/>
        </w:tabs>
        <w:spacing w:after="80"/>
        <w:ind w:left="964" w:hanging="964"/>
        <w:jc w:val="center"/>
        <w:outlineLvl w:val="1"/>
        <w:rPr>
          <w:rFonts w:cs="Arial"/>
          <w:b/>
          <w:bCs/>
          <w:iCs/>
          <w:color w:val="008091"/>
          <w:sz w:val="28"/>
          <w:szCs w:val="32"/>
        </w:rPr>
      </w:pPr>
      <w:r w:rsidRPr="00F83AC3">
        <w:rPr>
          <w:noProof/>
          <w:szCs w:val="24"/>
          <w:lang w:eastAsia="en-AU"/>
        </w:rPr>
        <w:drawing>
          <wp:inline distT="0" distB="0" distL="0" distR="0">
            <wp:extent cx="4819650" cy="751043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19650" cy="7510438"/>
                    </a:xfrm>
                    <a:prstGeom prst="rect">
                      <a:avLst/>
                    </a:prstGeom>
                    <a:noFill/>
                    <a:ln>
                      <a:noFill/>
                    </a:ln>
                  </pic:spPr>
                </pic:pic>
              </a:graphicData>
            </a:graphic>
          </wp:inline>
        </w:drawing>
      </w:r>
    </w:p>
    <w:p w:rsidR="00B35737" w:rsidRPr="00F82E89" w:rsidRDefault="00FF22E6" w:rsidP="00B35737">
      <w:pPr>
        <w:keepNext/>
        <w:numPr>
          <w:ilvl w:val="1"/>
          <w:numId w:val="0"/>
        </w:numPr>
        <w:tabs>
          <w:tab w:val="left" w:pos="964"/>
        </w:tabs>
        <w:spacing w:after="80"/>
        <w:ind w:left="964" w:hanging="964"/>
        <w:outlineLvl w:val="1"/>
        <w:rPr>
          <w:rFonts w:cs="Arial"/>
          <w:b/>
          <w:bCs/>
          <w:i/>
          <w:iCs/>
          <w:color w:val="008091"/>
          <w:sz w:val="16"/>
          <w:szCs w:val="16"/>
        </w:rPr>
      </w:pPr>
      <w:r w:rsidRPr="00F82E89">
        <w:rPr>
          <w:rFonts w:cs="Arial"/>
          <w:bCs/>
          <w:i/>
          <w:iCs/>
          <w:sz w:val="16"/>
          <w:szCs w:val="16"/>
        </w:rPr>
        <w:t>Source:</w:t>
      </w:r>
      <w:r w:rsidRPr="00F82E89">
        <w:rPr>
          <w:rFonts w:cs="Arial"/>
          <w:b/>
          <w:bCs/>
          <w:i/>
          <w:iCs/>
          <w:color w:val="008091"/>
          <w:sz w:val="16"/>
          <w:szCs w:val="16"/>
        </w:rPr>
        <w:t xml:space="preserve"> </w:t>
      </w:r>
      <w:r w:rsidR="00F82E89" w:rsidRPr="00F82E89">
        <w:rPr>
          <w:i/>
          <w:noProof/>
          <w:sz w:val="16"/>
          <w:szCs w:val="16"/>
        </w:rPr>
        <w:t>Langloh Deposit Concept Mining Study (Golder Ref 117621029 001 R Rev A dated 20 March 2012).</w:t>
      </w:r>
    </w:p>
    <w:p w:rsidR="00B35737" w:rsidRDefault="00B35737" w:rsidP="00B35737">
      <w:pPr>
        <w:keepNext/>
        <w:numPr>
          <w:ilvl w:val="1"/>
          <w:numId w:val="0"/>
        </w:numPr>
        <w:tabs>
          <w:tab w:val="left" w:pos="964"/>
        </w:tabs>
        <w:spacing w:after="80"/>
        <w:ind w:left="964" w:hanging="964"/>
        <w:outlineLvl w:val="1"/>
        <w:rPr>
          <w:rFonts w:cs="Arial"/>
          <w:b/>
          <w:bCs/>
          <w:iCs/>
          <w:color w:val="008091"/>
          <w:sz w:val="28"/>
          <w:szCs w:val="32"/>
        </w:rPr>
      </w:pPr>
    </w:p>
    <w:p w:rsidR="00B35737" w:rsidRDefault="00B35737" w:rsidP="00B35737">
      <w:pPr>
        <w:keepNext/>
        <w:numPr>
          <w:ilvl w:val="1"/>
          <w:numId w:val="0"/>
        </w:numPr>
        <w:tabs>
          <w:tab w:val="left" w:pos="964"/>
        </w:tabs>
        <w:spacing w:after="80"/>
        <w:ind w:left="964" w:hanging="964"/>
        <w:outlineLvl w:val="1"/>
        <w:rPr>
          <w:rFonts w:cs="Arial"/>
          <w:b/>
          <w:bCs/>
          <w:iCs/>
          <w:color w:val="008091"/>
          <w:sz w:val="28"/>
          <w:szCs w:val="32"/>
        </w:rPr>
      </w:pPr>
    </w:p>
    <w:p w:rsidR="00FF22E6" w:rsidRDefault="00FF22E6">
      <w:pPr>
        <w:spacing w:after="0" w:line="240" w:lineRule="auto"/>
        <w:rPr>
          <w:rFonts w:cs="Arial"/>
          <w:b/>
          <w:bCs/>
          <w:iCs/>
          <w:color w:val="008091"/>
          <w:sz w:val="28"/>
          <w:szCs w:val="32"/>
        </w:rPr>
      </w:pPr>
      <w:r>
        <w:rPr>
          <w:rFonts w:cs="Arial"/>
          <w:b/>
          <w:bCs/>
          <w:iCs/>
          <w:color w:val="008091"/>
          <w:sz w:val="28"/>
          <w:szCs w:val="32"/>
        </w:rPr>
        <w:br w:type="page"/>
      </w:r>
    </w:p>
    <w:p w:rsidR="00A00BE1" w:rsidRPr="00F83AC3" w:rsidRDefault="00A00BE1" w:rsidP="00251F69">
      <w:pPr>
        <w:pStyle w:val="Heading2Normal"/>
      </w:pPr>
      <w:bookmarkStart w:id="28" w:name="_Toc325460047"/>
      <w:bookmarkStart w:id="29" w:name="_Toc325460060"/>
      <w:bookmarkStart w:id="30" w:name="_Toc325461130"/>
      <w:bookmarkStart w:id="31" w:name="_Toc325461152"/>
      <w:bookmarkStart w:id="32" w:name="_Toc325461167"/>
      <w:bookmarkStart w:id="33" w:name="_Toc325461183"/>
      <w:bookmarkStart w:id="34" w:name="_Toc325463681"/>
      <w:bookmarkStart w:id="35" w:name="_Toc325463696"/>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F83AC3">
        <w:lastRenderedPageBreak/>
        <w:t>Estimated Resources</w:t>
      </w:r>
    </w:p>
    <w:p w:rsidR="00A00BE1" w:rsidRPr="00F83AC3" w:rsidRDefault="00A00BE1" w:rsidP="005E0961">
      <w:pPr>
        <w:spacing w:after="240"/>
      </w:pPr>
      <w:r w:rsidRPr="00F83AC3">
        <w:t>Based on current drilling information, the project contains an estimated 8.1 million tonnes (Mt) of in situ coal resources (Golder Ref 117621029-001-R-RevA, 20 March 2012). Table 1 summarises the estimated JORC compliant coal resources</w:t>
      </w:r>
      <w:r w:rsidRPr="00F83AC3">
        <w:rPr>
          <w:vertAlign w:val="superscript"/>
        </w:rPr>
        <w:footnoteReference w:id="1"/>
      </w:r>
      <w:r w:rsidRPr="00F83AC3">
        <w:t>:</w:t>
      </w:r>
    </w:p>
    <w:p w:rsidR="00A00BE1" w:rsidRPr="00F83AC3" w:rsidRDefault="00A00BE1" w:rsidP="00A00BE1">
      <w:pPr>
        <w:tabs>
          <w:tab w:val="left" w:pos="851"/>
        </w:tabs>
        <w:spacing w:after="0" w:line="240" w:lineRule="auto"/>
        <w:rPr>
          <w:b/>
          <w:bCs/>
          <w:szCs w:val="20"/>
        </w:rPr>
      </w:pPr>
      <w:r w:rsidRPr="00F83AC3">
        <w:rPr>
          <w:b/>
          <w:bCs/>
          <w:szCs w:val="20"/>
        </w:rPr>
        <w:t xml:space="preserve">Table </w:t>
      </w:r>
      <w:r w:rsidR="002C17C3" w:rsidRPr="00F83AC3">
        <w:rPr>
          <w:b/>
          <w:bCs/>
          <w:szCs w:val="20"/>
        </w:rPr>
        <w:fldChar w:fldCharType="begin"/>
      </w:r>
      <w:r w:rsidRPr="00F83AC3">
        <w:rPr>
          <w:b/>
          <w:bCs/>
          <w:szCs w:val="20"/>
        </w:rPr>
        <w:instrText xml:space="preserve"> SEQ Table \* ARABIC </w:instrText>
      </w:r>
      <w:r w:rsidR="002C17C3" w:rsidRPr="00F83AC3">
        <w:rPr>
          <w:b/>
          <w:bCs/>
          <w:szCs w:val="20"/>
        </w:rPr>
        <w:fldChar w:fldCharType="separate"/>
      </w:r>
      <w:r w:rsidR="00B5174B">
        <w:rPr>
          <w:b/>
          <w:bCs/>
          <w:noProof/>
          <w:szCs w:val="20"/>
        </w:rPr>
        <w:t>1</w:t>
      </w:r>
      <w:r w:rsidR="002C17C3" w:rsidRPr="00F83AC3">
        <w:rPr>
          <w:b/>
          <w:bCs/>
          <w:szCs w:val="20"/>
        </w:rPr>
        <w:fldChar w:fldCharType="end"/>
      </w:r>
      <w:r w:rsidRPr="00F83AC3">
        <w:rPr>
          <w:b/>
          <w:bCs/>
          <w:szCs w:val="20"/>
        </w:rPr>
        <w:t xml:space="preserve"> Langloh Estimate Resources</w:t>
      </w:r>
    </w:p>
    <w:p w:rsidR="00A00BE1" w:rsidRPr="00F83AC3" w:rsidRDefault="00A00BE1" w:rsidP="00A00BE1">
      <w:pPr>
        <w:rPr>
          <w:szCs w:val="24"/>
        </w:rPr>
      </w:pPr>
      <w:r w:rsidRPr="00F83AC3">
        <w:rPr>
          <w:noProof/>
          <w:szCs w:val="24"/>
          <w:lang w:eastAsia="en-AU"/>
        </w:rPr>
        <w:drawing>
          <wp:inline distT="0" distB="0" distL="0" distR="0">
            <wp:extent cx="6425818" cy="1861851"/>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 cstate="print"/>
                    <a:srcRect/>
                    <a:stretch>
                      <a:fillRect/>
                    </a:stretch>
                  </pic:blipFill>
                  <pic:spPr bwMode="auto">
                    <a:xfrm>
                      <a:off x="0" y="0"/>
                      <a:ext cx="6425818" cy="1861851"/>
                    </a:xfrm>
                    <a:prstGeom prst="rect">
                      <a:avLst/>
                    </a:prstGeom>
                    <a:noFill/>
                    <a:ln w="9525">
                      <a:noFill/>
                      <a:miter lim="800000"/>
                      <a:headEnd/>
                      <a:tailEnd/>
                    </a:ln>
                  </pic:spPr>
                </pic:pic>
              </a:graphicData>
            </a:graphic>
          </wp:inline>
        </w:drawing>
      </w:r>
    </w:p>
    <w:p w:rsidR="00A00BE1" w:rsidRPr="00F83AC3" w:rsidRDefault="00A00BE1" w:rsidP="005E0961">
      <w:pPr>
        <w:spacing w:after="240"/>
        <w:jc w:val="both"/>
        <w:rPr>
          <w:szCs w:val="24"/>
        </w:rPr>
      </w:pPr>
      <w:r w:rsidRPr="00F83AC3">
        <w:rPr>
          <w:szCs w:val="24"/>
        </w:rPr>
        <w:t>As can be seen in Table 1, nearly 68% of the resources are within a measured confidence level. Nearly 83% of the total is of a measured and indicated status.</w:t>
      </w:r>
    </w:p>
    <w:p w:rsidR="00A00BE1" w:rsidRPr="00F83AC3" w:rsidRDefault="00A00BE1" w:rsidP="00251F69">
      <w:pPr>
        <w:pStyle w:val="Heading2Normal"/>
      </w:pPr>
      <w:r w:rsidRPr="00F83AC3">
        <w:t>Estimated Life-of-Mine Production</w:t>
      </w:r>
    </w:p>
    <w:p w:rsidR="00A00BE1" w:rsidRPr="00F83AC3" w:rsidRDefault="00A00BE1" w:rsidP="005E0961">
      <w:pPr>
        <w:spacing w:after="240"/>
        <w:jc w:val="both"/>
        <w:rPr>
          <w:szCs w:val="24"/>
        </w:rPr>
      </w:pPr>
      <w:r w:rsidRPr="00F83AC3">
        <w:rPr>
          <w:szCs w:val="24"/>
        </w:rPr>
        <w:t xml:space="preserve">Within the limits of the coal resources, Golder designed a conceptual pit shell for use in designing a life-of-mine production schedule. The </w:t>
      </w:r>
      <w:r>
        <w:rPr>
          <w:szCs w:val="24"/>
        </w:rPr>
        <w:t xml:space="preserve">average annual run-of-mine (ROM) </w:t>
      </w:r>
      <w:r w:rsidRPr="00F83AC3">
        <w:rPr>
          <w:szCs w:val="24"/>
        </w:rPr>
        <w:t xml:space="preserve">coal </w:t>
      </w:r>
      <w:r>
        <w:rPr>
          <w:szCs w:val="24"/>
        </w:rPr>
        <w:t xml:space="preserve">production is estimated at </w:t>
      </w:r>
      <w:r w:rsidRPr="00F83AC3">
        <w:rPr>
          <w:szCs w:val="24"/>
        </w:rPr>
        <w:t xml:space="preserve">910 000 tonnes. Based on our mine production schedule and the limitations of the coal resources, the project could have a mine life of </w:t>
      </w:r>
      <w:r>
        <w:rPr>
          <w:szCs w:val="24"/>
        </w:rPr>
        <w:t>8</w:t>
      </w:r>
      <w:r w:rsidRPr="00F83AC3">
        <w:rPr>
          <w:szCs w:val="24"/>
        </w:rPr>
        <w:t xml:space="preserve"> years and produce a total of 6.7 </w:t>
      </w:r>
      <w:r>
        <w:rPr>
          <w:szCs w:val="24"/>
        </w:rPr>
        <w:t>Mt as shown in Table 2:</w:t>
      </w:r>
      <w:r w:rsidRPr="00F83AC3">
        <w:rPr>
          <w:szCs w:val="24"/>
        </w:rPr>
        <w:t xml:space="preserve"> </w:t>
      </w:r>
    </w:p>
    <w:tbl>
      <w:tblPr>
        <w:tblW w:w="9649" w:type="dxa"/>
        <w:jc w:val="center"/>
        <w:tblInd w:w="98" w:type="dxa"/>
        <w:tblLayout w:type="fixed"/>
        <w:tblLook w:val="04A0"/>
      </w:tblPr>
      <w:tblGrid>
        <w:gridCol w:w="1282"/>
        <w:gridCol w:w="2789"/>
        <w:gridCol w:w="2789"/>
        <w:gridCol w:w="2789"/>
      </w:tblGrid>
      <w:tr w:rsidR="00A00BE1" w:rsidRPr="00F83AC3" w:rsidTr="00A00BE1">
        <w:trPr>
          <w:trHeight w:val="473"/>
          <w:jc w:val="center"/>
        </w:trPr>
        <w:tc>
          <w:tcPr>
            <w:tcW w:w="1282" w:type="dxa"/>
            <w:tcBorders>
              <w:top w:val="single" w:sz="8" w:space="0" w:color="00755C"/>
              <w:left w:val="single" w:sz="8" w:space="0" w:color="00755C"/>
              <w:bottom w:val="single" w:sz="8"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b/>
                <w:color w:val="000000"/>
                <w:szCs w:val="20"/>
                <w:lang w:val="en-US"/>
              </w:rPr>
            </w:pPr>
            <w:r w:rsidRPr="00F83AC3">
              <w:rPr>
                <w:rFonts w:cs="Arial"/>
                <w:b/>
                <w:color w:val="000000"/>
                <w:szCs w:val="20"/>
                <w:lang w:val="en-US"/>
              </w:rPr>
              <w:t>Year</w:t>
            </w:r>
          </w:p>
        </w:tc>
        <w:tc>
          <w:tcPr>
            <w:tcW w:w="2789" w:type="dxa"/>
            <w:tcBorders>
              <w:top w:val="single" w:sz="8" w:space="0" w:color="00755C"/>
              <w:left w:val="nil"/>
              <w:bottom w:val="single" w:sz="8" w:space="0" w:color="00755C"/>
              <w:right w:val="single" w:sz="4" w:space="0" w:color="00755C"/>
            </w:tcBorders>
            <w:shd w:val="clear" w:color="000000" w:fill="FFFFFF"/>
            <w:vAlign w:val="center"/>
            <w:hideMark/>
          </w:tcPr>
          <w:p w:rsidR="00A00BE1" w:rsidRPr="00F83AC3" w:rsidRDefault="00A00BE1" w:rsidP="00A00BE1">
            <w:pPr>
              <w:spacing w:after="0" w:line="240" w:lineRule="auto"/>
              <w:jc w:val="center"/>
              <w:rPr>
                <w:rFonts w:cs="Arial"/>
                <w:b/>
                <w:color w:val="000000"/>
                <w:szCs w:val="20"/>
                <w:lang w:val="en-US"/>
              </w:rPr>
            </w:pPr>
            <w:r w:rsidRPr="00F83AC3">
              <w:rPr>
                <w:rFonts w:cs="Arial"/>
                <w:b/>
                <w:color w:val="000000"/>
                <w:szCs w:val="20"/>
                <w:lang w:val="en-US"/>
              </w:rPr>
              <w:t>Coal Tonnage (</w:t>
            </w:r>
            <w:proofErr w:type="spellStart"/>
            <w:r w:rsidRPr="00F83AC3">
              <w:rPr>
                <w:rFonts w:cs="Arial"/>
                <w:b/>
                <w:color w:val="000000"/>
                <w:szCs w:val="20"/>
                <w:lang w:val="en-US"/>
              </w:rPr>
              <w:t>ROMt</w:t>
            </w:r>
            <w:proofErr w:type="spellEnd"/>
            <w:r w:rsidRPr="00F83AC3">
              <w:rPr>
                <w:rFonts w:cs="Arial"/>
                <w:b/>
                <w:color w:val="000000"/>
                <w:szCs w:val="20"/>
                <w:lang w:val="en-US"/>
              </w:rPr>
              <w:t>)</w:t>
            </w:r>
          </w:p>
        </w:tc>
        <w:tc>
          <w:tcPr>
            <w:tcW w:w="2789" w:type="dxa"/>
            <w:tcBorders>
              <w:top w:val="single" w:sz="8" w:space="0" w:color="00755C"/>
              <w:left w:val="nil"/>
              <w:bottom w:val="single" w:sz="8" w:space="0" w:color="00755C"/>
              <w:right w:val="single" w:sz="4" w:space="0" w:color="00755C"/>
            </w:tcBorders>
            <w:shd w:val="clear" w:color="000000" w:fill="FFFFFF"/>
            <w:vAlign w:val="center"/>
            <w:hideMark/>
          </w:tcPr>
          <w:p w:rsidR="00A00BE1" w:rsidRPr="00F83AC3" w:rsidRDefault="00A00BE1" w:rsidP="00A00BE1">
            <w:pPr>
              <w:spacing w:after="0" w:line="240" w:lineRule="auto"/>
              <w:jc w:val="center"/>
              <w:rPr>
                <w:rFonts w:cs="Arial"/>
                <w:b/>
                <w:color w:val="000000"/>
                <w:szCs w:val="20"/>
                <w:lang w:val="en-US"/>
              </w:rPr>
            </w:pPr>
            <w:r w:rsidRPr="00F83AC3">
              <w:rPr>
                <w:rFonts w:cs="Arial"/>
                <w:b/>
                <w:color w:val="000000"/>
                <w:szCs w:val="20"/>
                <w:lang w:val="en-US"/>
              </w:rPr>
              <w:t>Waste Volume (</w:t>
            </w:r>
            <w:proofErr w:type="spellStart"/>
            <w:r w:rsidRPr="00F83AC3">
              <w:rPr>
                <w:rFonts w:cs="Arial"/>
                <w:b/>
                <w:color w:val="000000"/>
                <w:szCs w:val="20"/>
                <w:lang w:val="en-US"/>
              </w:rPr>
              <w:t>bcm</w:t>
            </w:r>
            <w:proofErr w:type="spellEnd"/>
            <w:r w:rsidRPr="00F83AC3">
              <w:rPr>
                <w:rFonts w:cs="Arial"/>
                <w:b/>
                <w:color w:val="000000"/>
                <w:szCs w:val="20"/>
                <w:lang w:val="en-US"/>
              </w:rPr>
              <w:t>)</w:t>
            </w:r>
          </w:p>
        </w:tc>
        <w:tc>
          <w:tcPr>
            <w:tcW w:w="2789" w:type="dxa"/>
            <w:tcBorders>
              <w:top w:val="single" w:sz="8" w:space="0" w:color="00755C"/>
              <w:left w:val="nil"/>
              <w:bottom w:val="single" w:sz="8" w:space="0" w:color="00755C"/>
              <w:right w:val="single" w:sz="8" w:space="0" w:color="00755C"/>
            </w:tcBorders>
            <w:shd w:val="clear" w:color="000000" w:fill="FFFFFF"/>
            <w:vAlign w:val="center"/>
            <w:hideMark/>
          </w:tcPr>
          <w:p w:rsidR="00A00BE1" w:rsidRPr="00F83AC3" w:rsidRDefault="00A00BE1" w:rsidP="00A00BE1">
            <w:pPr>
              <w:spacing w:after="0" w:line="240" w:lineRule="auto"/>
              <w:jc w:val="center"/>
              <w:rPr>
                <w:rFonts w:cs="Arial"/>
                <w:b/>
                <w:color w:val="000000"/>
                <w:szCs w:val="20"/>
                <w:lang w:val="en-US"/>
              </w:rPr>
            </w:pPr>
            <w:r w:rsidRPr="00F83AC3">
              <w:rPr>
                <w:rFonts w:cs="Arial"/>
                <w:b/>
                <w:color w:val="000000"/>
                <w:szCs w:val="20"/>
                <w:lang w:val="en-US"/>
              </w:rPr>
              <w:t>Stripping Ratio (</w:t>
            </w:r>
            <w:proofErr w:type="spellStart"/>
            <w:r w:rsidRPr="00F83AC3">
              <w:rPr>
                <w:rFonts w:cs="Arial"/>
                <w:b/>
                <w:color w:val="000000"/>
                <w:szCs w:val="20"/>
                <w:lang w:val="en-US"/>
              </w:rPr>
              <w:t>bcm</w:t>
            </w:r>
            <w:proofErr w:type="spellEnd"/>
            <w:r w:rsidRPr="00F83AC3">
              <w:rPr>
                <w:rFonts w:cs="Arial"/>
                <w:b/>
                <w:color w:val="000000"/>
                <w:szCs w:val="20"/>
                <w:lang w:val="en-US"/>
              </w:rPr>
              <w:t>/</w:t>
            </w:r>
            <w:proofErr w:type="spellStart"/>
            <w:r w:rsidRPr="00F83AC3">
              <w:rPr>
                <w:rFonts w:cs="Arial"/>
                <w:b/>
                <w:color w:val="000000"/>
                <w:szCs w:val="20"/>
                <w:lang w:val="en-US"/>
              </w:rPr>
              <w:t>ROMt</w:t>
            </w:r>
            <w:proofErr w:type="spellEnd"/>
            <w:r w:rsidRPr="00F83AC3">
              <w:rPr>
                <w:rFonts w:cs="Arial"/>
                <w:b/>
                <w:color w:val="000000"/>
                <w:szCs w:val="20"/>
                <w:lang w:val="en-US"/>
              </w:rPr>
              <w:t>)</w:t>
            </w:r>
          </w:p>
        </w:tc>
      </w:tr>
      <w:tr w:rsidR="00A00BE1" w:rsidRPr="00F83AC3" w:rsidTr="00A00BE1">
        <w:trPr>
          <w:trHeight w:val="319"/>
          <w:jc w:val="center"/>
        </w:trPr>
        <w:tc>
          <w:tcPr>
            <w:tcW w:w="1282" w:type="dxa"/>
            <w:tcBorders>
              <w:top w:val="nil"/>
              <w:left w:val="single" w:sz="8" w:space="0" w:color="00755C"/>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1</w:t>
            </w:r>
          </w:p>
        </w:tc>
        <w:tc>
          <w:tcPr>
            <w:tcW w:w="2789" w:type="dxa"/>
            <w:tcBorders>
              <w:top w:val="nil"/>
              <w:left w:val="nil"/>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400,000</w:t>
            </w:r>
          </w:p>
        </w:tc>
        <w:tc>
          <w:tcPr>
            <w:tcW w:w="2789" w:type="dxa"/>
            <w:tcBorders>
              <w:top w:val="nil"/>
              <w:left w:val="nil"/>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1,900,000</w:t>
            </w:r>
          </w:p>
        </w:tc>
        <w:tc>
          <w:tcPr>
            <w:tcW w:w="2789" w:type="dxa"/>
            <w:tcBorders>
              <w:top w:val="nil"/>
              <w:left w:val="nil"/>
              <w:bottom w:val="single" w:sz="4" w:space="0" w:color="00755C"/>
              <w:right w:val="single" w:sz="8"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 xml:space="preserve">4.8 </w:t>
            </w:r>
          </w:p>
        </w:tc>
      </w:tr>
      <w:tr w:rsidR="00A00BE1" w:rsidRPr="00F83AC3" w:rsidTr="00A00BE1">
        <w:trPr>
          <w:trHeight w:val="319"/>
          <w:jc w:val="center"/>
        </w:trPr>
        <w:tc>
          <w:tcPr>
            <w:tcW w:w="1282" w:type="dxa"/>
            <w:tcBorders>
              <w:top w:val="nil"/>
              <w:left w:val="single" w:sz="8" w:space="0" w:color="00755C"/>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2</w:t>
            </w:r>
          </w:p>
        </w:tc>
        <w:tc>
          <w:tcPr>
            <w:tcW w:w="2789" w:type="dxa"/>
            <w:tcBorders>
              <w:top w:val="nil"/>
              <w:left w:val="nil"/>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850,000</w:t>
            </w:r>
          </w:p>
        </w:tc>
        <w:tc>
          <w:tcPr>
            <w:tcW w:w="2789" w:type="dxa"/>
            <w:tcBorders>
              <w:top w:val="nil"/>
              <w:left w:val="nil"/>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4,500,000</w:t>
            </w:r>
          </w:p>
        </w:tc>
        <w:tc>
          <w:tcPr>
            <w:tcW w:w="2789" w:type="dxa"/>
            <w:tcBorders>
              <w:top w:val="nil"/>
              <w:left w:val="nil"/>
              <w:bottom w:val="single" w:sz="4" w:space="0" w:color="00755C"/>
              <w:right w:val="single" w:sz="8"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 xml:space="preserve">5.3 </w:t>
            </w:r>
          </w:p>
        </w:tc>
      </w:tr>
      <w:tr w:rsidR="00A00BE1" w:rsidRPr="00F83AC3" w:rsidTr="00A00BE1">
        <w:trPr>
          <w:trHeight w:val="319"/>
          <w:jc w:val="center"/>
        </w:trPr>
        <w:tc>
          <w:tcPr>
            <w:tcW w:w="1282" w:type="dxa"/>
            <w:tcBorders>
              <w:top w:val="nil"/>
              <w:left w:val="single" w:sz="8" w:space="0" w:color="00755C"/>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3</w:t>
            </w:r>
          </w:p>
        </w:tc>
        <w:tc>
          <w:tcPr>
            <w:tcW w:w="2789" w:type="dxa"/>
            <w:tcBorders>
              <w:top w:val="nil"/>
              <w:left w:val="nil"/>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910,000</w:t>
            </w:r>
          </w:p>
        </w:tc>
        <w:tc>
          <w:tcPr>
            <w:tcW w:w="2789" w:type="dxa"/>
            <w:tcBorders>
              <w:top w:val="nil"/>
              <w:left w:val="nil"/>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5,500,000</w:t>
            </w:r>
          </w:p>
        </w:tc>
        <w:tc>
          <w:tcPr>
            <w:tcW w:w="2789" w:type="dxa"/>
            <w:tcBorders>
              <w:top w:val="nil"/>
              <w:left w:val="nil"/>
              <w:bottom w:val="single" w:sz="4" w:space="0" w:color="00755C"/>
              <w:right w:val="single" w:sz="8"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 xml:space="preserve">6.0 </w:t>
            </w:r>
          </w:p>
        </w:tc>
      </w:tr>
      <w:tr w:rsidR="00A00BE1" w:rsidRPr="00F83AC3" w:rsidTr="00A00BE1">
        <w:trPr>
          <w:trHeight w:val="319"/>
          <w:jc w:val="center"/>
        </w:trPr>
        <w:tc>
          <w:tcPr>
            <w:tcW w:w="1282" w:type="dxa"/>
            <w:tcBorders>
              <w:top w:val="nil"/>
              <w:left w:val="single" w:sz="8" w:space="0" w:color="00755C"/>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4</w:t>
            </w:r>
          </w:p>
        </w:tc>
        <w:tc>
          <w:tcPr>
            <w:tcW w:w="2789" w:type="dxa"/>
            <w:tcBorders>
              <w:top w:val="nil"/>
              <w:left w:val="nil"/>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910,000</w:t>
            </w:r>
          </w:p>
        </w:tc>
        <w:tc>
          <w:tcPr>
            <w:tcW w:w="2789" w:type="dxa"/>
            <w:tcBorders>
              <w:top w:val="nil"/>
              <w:left w:val="nil"/>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5,500,000</w:t>
            </w:r>
          </w:p>
        </w:tc>
        <w:tc>
          <w:tcPr>
            <w:tcW w:w="2789" w:type="dxa"/>
            <w:tcBorders>
              <w:top w:val="nil"/>
              <w:left w:val="nil"/>
              <w:bottom w:val="single" w:sz="4" w:space="0" w:color="00755C"/>
              <w:right w:val="single" w:sz="8"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 xml:space="preserve">6.0 </w:t>
            </w:r>
          </w:p>
        </w:tc>
      </w:tr>
      <w:tr w:rsidR="00A00BE1" w:rsidRPr="00F83AC3" w:rsidTr="00A00BE1">
        <w:trPr>
          <w:trHeight w:val="319"/>
          <w:jc w:val="center"/>
        </w:trPr>
        <w:tc>
          <w:tcPr>
            <w:tcW w:w="1282" w:type="dxa"/>
            <w:tcBorders>
              <w:top w:val="nil"/>
              <w:left w:val="single" w:sz="8" w:space="0" w:color="00755C"/>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5</w:t>
            </w:r>
          </w:p>
        </w:tc>
        <w:tc>
          <w:tcPr>
            <w:tcW w:w="2789" w:type="dxa"/>
            <w:tcBorders>
              <w:top w:val="nil"/>
              <w:left w:val="nil"/>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910,000</w:t>
            </w:r>
          </w:p>
        </w:tc>
        <w:tc>
          <w:tcPr>
            <w:tcW w:w="2789" w:type="dxa"/>
            <w:tcBorders>
              <w:top w:val="nil"/>
              <w:left w:val="nil"/>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5,600,000</w:t>
            </w:r>
          </w:p>
        </w:tc>
        <w:tc>
          <w:tcPr>
            <w:tcW w:w="2789" w:type="dxa"/>
            <w:tcBorders>
              <w:top w:val="nil"/>
              <w:left w:val="nil"/>
              <w:bottom w:val="single" w:sz="4" w:space="0" w:color="00755C"/>
              <w:right w:val="single" w:sz="8"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 xml:space="preserve">6.2 </w:t>
            </w:r>
          </w:p>
        </w:tc>
      </w:tr>
      <w:tr w:rsidR="00A00BE1" w:rsidRPr="00F83AC3" w:rsidTr="00A00BE1">
        <w:trPr>
          <w:trHeight w:val="319"/>
          <w:jc w:val="center"/>
        </w:trPr>
        <w:tc>
          <w:tcPr>
            <w:tcW w:w="1282" w:type="dxa"/>
            <w:tcBorders>
              <w:top w:val="nil"/>
              <w:left w:val="single" w:sz="8" w:space="0" w:color="00755C"/>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6</w:t>
            </w:r>
          </w:p>
        </w:tc>
        <w:tc>
          <w:tcPr>
            <w:tcW w:w="2789" w:type="dxa"/>
            <w:tcBorders>
              <w:top w:val="nil"/>
              <w:left w:val="nil"/>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910,000</w:t>
            </w:r>
          </w:p>
        </w:tc>
        <w:tc>
          <w:tcPr>
            <w:tcW w:w="2789" w:type="dxa"/>
            <w:tcBorders>
              <w:top w:val="nil"/>
              <w:left w:val="nil"/>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5,600,000</w:t>
            </w:r>
          </w:p>
        </w:tc>
        <w:tc>
          <w:tcPr>
            <w:tcW w:w="2789" w:type="dxa"/>
            <w:tcBorders>
              <w:top w:val="nil"/>
              <w:left w:val="nil"/>
              <w:bottom w:val="single" w:sz="4" w:space="0" w:color="00755C"/>
              <w:right w:val="single" w:sz="8"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 xml:space="preserve">6.2 </w:t>
            </w:r>
          </w:p>
        </w:tc>
      </w:tr>
      <w:tr w:rsidR="00A00BE1" w:rsidRPr="00F83AC3" w:rsidTr="00A00BE1">
        <w:trPr>
          <w:trHeight w:val="319"/>
          <w:jc w:val="center"/>
        </w:trPr>
        <w:tc>
          <w:tcPr>
            <w:tcW w:w="1282" w:type="dxa"/>
            <w:tcBorders>
              <w:top w:val="nil"/>
              <w:left w:val="single" w:sz="8" w:space="0" w:color="00755C"/>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7</w:t>
            </w:r>
          </w:p>
        </w:tc>
        <w:tc>
          <w:tcPr>
            <w:tcW w:w="2789" w:type="dxa"/>
            <w:tcBorders>
              <w:top w:val="nil"/>
              <w:left w:val="nil"/>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910,000</w:t>
            </w:r>
          </w:p>
        </w:tc>
        <w:tc>
          <w:tcPr>
            <w:tcW w:w="2789" w:type="dxa"/>
            <w:tcBorders>
              <w:top w:val="nil"/>
              <w:left w:val="nil"/>
              <w:bottom w:val="single" w:sz="4"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5,600,000</w:t>
            </w:r>
          </w:p>
        </w:tc>
        <w:tc>
          <w:tcPr>
            <w:tcW w:w="2789" w:type="dxa"/>
            <w:tcBorders>
              <w:top w:val="nil"/>
              <w:left w:val="nil"/>
              <w:bottom w:val="single" w:sz="4" w:space="0" w:color="00755C"/>
              <w:right w:val="single" w:sz="8"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 xml:space="preserve">6.2 </w:t>
            </w:r>
          </w:p>
        </w:tc>
      </w:tr>
      <w:tr w:rsidR="00A00BE1" w:rsidRPr="00F83AC3" w:rsidTr="00A00BE1">
        <w:trPr>
          <w:trHeight w:val="319"/>
          <w:jc w:val="center"/>
        </w:trPr>
        <w:tc>
          <w:tcPr>
            <w:tcW w:w="1282" w:type="dxa"/>
            <w:tcBorders>
              <w:top w:val="nil"/>
              <w:left w:val="single" w:sz="8" w:space="0" w:color="00755C"/>
              <w:bottom w:val="double" w:sz="6"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8</w:t>
            </w:r>
          </w:p>
        </w:tc>
        <w:tc>
          <w:tcPr>
            <w:tcW w:w="2789" w:type="dxa"/>
            <w:tcBorders>
              <w:top w:val="nil"/>
              <w:left w:val="nil"/>
              <w:bottom w:val="double" w:sz="6"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900,000</w:t>
            </w:r>
          </w:p>
        </w:tc>
        <w:tc>
          <w:tcPr>
            <w:tcW w:w="2789" w:type="dxa"/>
            <w:tcBorders>
              <w:top w:val="nil"/>
              <w:left w:val="nil"/>
              <w:bottom w:val="double" w:sz="6" w:space="0" w:color="00755C"/>
              <w:right w:val="single" w:sz="4"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5,100,000</w:t>
            </w:r>
          </w:p>
        </w:tc>
        <w:tc>
          <w:tcPr>
            <w:tcW w:w="2789" w:type="dxa"/>
            <w:tcBorders>
              <w:top w:val="nil"/>
              <w:left w:val="nil"/>
              <w:bottom w:val="double" w:sz="6" w:space="0" w:color="00755C"/>
              <w:right w:val="single" w:sz="8" w:space="0" w:color="00755C"/>
            </w:tcBorders>
            <w:shd w:val="clear" w:color="000000" w:fill="FFFFFF"/>
            <w:noWrap/>
            <w:vAlign w:val="center"/>
            <w:hideMark/>
          </w:tcPr>
          <w:p w:rsidR="00A00BE1" w:rsidRPr="00F83AC3" w:rsidRDefault="00A00BE1" w:rsidP="00A00BE1">
            <w:pPr>
              <w:spacing w:after="0" w:line="240" w:lineRule="auto"/>
              <w:jc w:val="center"/>
              <w:rPr>
                <w:rFonts w:cs="Arial"/>
                <w:color w:val="000000"/>
                <w:szCs w:val="20"/>
                <w:lang w:val="en-US"/>
              </w:rPr>
            </w:pPr>
            <w:r w:rsidRPr="00F83AC3">
              <w:rPr>
                <w:rFonts w:cs="Arial"/>
                <w:color w:val="000000"/>
                <w:szCs w:val="20"/>
                <w:lang w:val="en-US"/>
              </w:rPr>
              <w:t xml:space="preserve">5.7 </w:t>
            </w:r>
          </w:p>
        </w:tc>
      </w:tr>
      <w:tr w:rsidR="00A00BE1" w:rsidRPr="00F83AC3" w:rsidTr="00A00BE1">
        <w:trPr>
          <w:trHeight w:val="319"/>
          <w:jc w:val="center"/>
        </w:trPr>
        <w:tc>
          <w:tcPr>
            <w:tcW w:w="1282" w:type="dxa"/>
            <w:tcBorders>
              <w:top w:val="nil"/>
              <w:left w:val="single" w:sz="8" w:space="0" w:color="00755C"/>
              <w:bottom w:val="single" w:sz="8" w:space="0" w:color="00755C"/>
              <w:right w:val="single" w:sz="4" w:space="0" w:color="00755C"/>
            </w:tcBorders>
            <w:shd w:val="clear" w:color="auto" w:fill="auto"/>
            <w:noWrap/>
            <w:vAlign w:val="center"/>
            <w:hideMark/>
          </w:tcPr>
          <w:p w:rsidR="00A00BE1" w:rsidRPr="00F83AC3" w:rsidRDefault="00A00BE1" w:rsidP="00A00BE1">
            <w:pPr>
              <w:spacing w:after="0" w:line="240" w:lineRule="auto"/>
              <w:jc w:val="center"/>
              <w:rPr>
                <w:rFonts w:cs="Arial"/>
                <w:b/>
                <w:bCs/>
                <w:color w:val="000000"/>
                <w:szCs w:val="20"/>
                <w:lang w:val="en-US"/>
              </w:rPr>
            </w:pPr>
            <w:r w:rsidRPr="00F83AC3">
              <w:rPr>
                <w:rFonts w:cs="Arial"/>
                <w:b/>
                <w:bCs/>
                <w:color w:val="000000"/>
                <w:szCs w:val="20"/>
                <w:lang w:val="en-US"/>
              </w:rPr>
              <w:t>Total</w:t>
            </w:r>
          </w:p>
        </w:tc>
        <w:tc>
          <w:tcPr>
            <w:tcW w:w="2789" w:type="dxa"/>
            <w:tcBorders>
              <w:top w:val="nil"/>
              <w:left w:val="nil"/>
              <w:bottom w:val="single" w:sz="8" w:space="0" w:color="00755C"/>
              <w:right w:val="single" w:sz="4" w:space="0" w:color="00755C"/>
            </w:tcBorders>
            <w:shd w:val="clear" w:color="auto" w:fill="auto"/>
            <w:noWrap/>
            <w:vAlign w:val="center"/>
            <w:hideMark/>
          </w:tcPr>
          <w:p w:rsidR="00A00BE1" w:rsidRPr="00F83AC3" w:rsidRDefault="00A00BE1" w:rsidP="00A00BE1">
            <w:pPr>
              <w:spacing w:after="0" w:line="240" w:lineRule="auto"/>
              <w:jc w:val="center"/>
              <w:rPr>
                <w:rFonts w:cs="Arial"/>
                <w:b/>
                <w:bCs/>
                <w:color w:val="000000"/>
                <w:szCs w:val="20"/>
                <w:lang w:val="en-US"/>
              </w:rPr>
            </w:pPr>
            <w:r w:rsidRPr="00F83AC3">
              <w:rPr>
                <w:rFonts w:cs="Arial"/>
                <w:b/>
                <w:bCs/>
                <w:color w:val="000000"/>
                <w:szCs w:val="20"/>
                <w:lang w:val="en-US"/>
              </w:rPr>
              <w:t>6,700,000</w:t>
            </w:r>
          </w:p>
        </w:tc>
        <w:tc>
          <w:tcPr>
            <w:tcW w:w="2789" w:type="dxa"/>
            <w:tcBorders>
              <w:top w:val="nil"/>
              <w:left w:val="nil"/>
              <w:bottom w:val="single" w:sz="8" w:space="0" w:color="00755C"/>
              <w:right w:val="single" w:sz="4" w:space="0" w:color="00755C"/>
            </w:tcBorders>
            <w:shd w:val="clear" w:color="auto" w:fill="auto"/>
            <w:noWrap/>
            <w:vAlign w:val="center"/>
            <w:hideMark/>
          </w:tcPr>
          <w:p w:rsidR="00A00BE1" w:rsidRPr="00F83AC3" w:rsidRDefault="00A00BE1" w:rsidP="00A00BE1">
            <w:pPr>
              <w:spacing w:after="0" w:line="240" w:lineRule="auto"/>
              <w:jc w:val="center"/>
              <w:rPr>
                <w:rFonts w:cs="Arial"/>
                <w:b/>
                <w:bCs/>
                <w:color w:val="000000"/>
                <w:szCs w:val="20"/>
                <w:lang w:val="en-US"/>
              </w:rPr>
            </w:pPr>
            <w:r w:rsidRPr="00F83AC3">
              <w:rPr>
                <w:rFonts w:cs="Arial"/>
                <w:b/>
                <w:bCs/>
                <w:color w:val="000000"/>
                <w:szCs w:val="20"/>
                <w:lang w:val="en-US"/>
              </w:rPr>
              <w:t>39,300,000</w:t>
            </w:r>
          </w:p>
        </w:tc>
        <w:tc>
          <w:tcPr>
            <w:tcW w:w="2789" w:type="dxa"/>
            <w:tcBorders>
              <w:top w:val="nil"/>
              <w:left w:val="nil"/>
              <w:bottom w:val="single" w:sz="8" w:space="0" w:color="00755C"/>
              <w:right w:val="single" w:sz="8" w:space="0" w:color="00755C"/>
            </w:tcBorders>
            <w:shd w:val="clear" w:color="auto" w:fill="auto"/>
            <w:noWrap/>
            <w:vAlign w:val="center"/>
            <w:hideMark/>
          </w:tcPr>
          <w:p w:rsidR="00A00BE1" w:rsidRPr="00F83AC3" w:rsidRDefault="00A00BE1" w:rsidP="00A00BE1">
            <w:pPr>
              <w:spacing w:after="0" w:line="240" w:lineRule="auto"/>
              <w:jc w:val="center"/>
              <w:rPr>
                <w:rFonts w:cs="Arial"/>
                <w:b/>
                <w:bCs/>
                <w:color w:val="000000"/>
                <w:szCs w:val="20"/>
                <w:lang w:val="en-US"/>
              </w:rPr>
            </w:pPr>
            <w:r w:rsidRPr="00F83AC3">
              <w:rPr>
                <w:rFonts w:cs="Arial"/>
                <w:b/>
                <w:bCs/>
                <w:color w:val="000000"/>
                <w:szCs w:val="20"/>
                <w:lang w:val="en-US"/>
              </w:rPr>
              <w:t xml:space="preserve">5.9 </w:t>
            </w:r>
          </w:p>
        </w:tc>
      </w:tr>
    </w:tbl>
    <w:p w:rsidR="00A00BE1" w:rsidRPr="00F83AC3" w:rsidRDefault="00A00BE1" w:rsidP="00A00BE1">
      <w:pPr>
        <w:tabs>
          <w:tab w:val="left" w:pos="851"/>
        </w:tabs>
        <w:spacing w:after="0" w:line="240" w:lineRule="auto"/>
        <w:rPr>
          <w:b/>
          <w:bCs/>
          <w:szCs w:val="20"/>
        </w:rPr>
      </w:pPr>
    </w:p>
    <w:p w:rsidR="00A00BE1" w:rsidRPr="00F83AC3" w:rsidRDefault="00A00BE1" w:rsidP="005E0961">
      <w:pPr>
        <w:spacing w:after="240"/>
        <w:rPr>
          <w:szCs w:val="24"/>
        </w:rPr>
      </w:pPr>
      <w:r w:rsidRPr="00F83AC3">
        <w:rPr>
          <w:szCs w:val="24"/>
        </w:rPr>
        <w:t>Of this total, 5.36 million tonnes of coal product are estimated to be realised, at a yield of 80 per cent.</w:t>
      </w:r>
    </w:p>
    <w:p w:rsidR="00A00BE1" w:rsidRPr="00A00BE1" w:rsidRDefault="00A00BE1" w:rsidP="00251F69">
      <w:pPr>
        <w:pStyle w:val="Heading2Normal"/>
      </w:pPr>
      <w:r w:rsidRPr="00A00BE1">
        <w:t xml:space="preserve">Operation of </w:t>
      </w:r>
      <w:r>
        <w:t>the M</w:t>
      </w:r>
      <w:r w:rsidRPr="00A00BE1">
        <w:t>ine</w:t>
      </w:r>
    </w:p>
    <w:p w:rsidR="00A00BE1" w:rsidRPr="00F83AC3" w:rsidRDefault="00A00BE1" w:rsidP="00A00BE1">
      <w:pPr>
        <w:rPr>
          <w:szCs w:val="24"/>
        </w:rPr>
      </w:pPr>
      <w:r w:rsidRPr="00F83AC3">
        <w:rPr>
          <w:szCs w:val="24"/>
        </w:rPr>
        <w:t>The coal will be extracted with diesel powered hydraulic excavators matched with suitably sized dump h</w:t>
      </w:r>
      <w:r>
        <w:rPr>
          <w:szCs w:val="24"/>
        </w:rPr>
        <w:t xml:space="preserve">aul trucks. </w:t>
      </w:r>
      <w:r w:rsidRPr="00F83AC3">
        <w:rPr>
          <w:szCs w:val="24"/>
        </w:rPr>
        <w:t>Extracted coal is planned to be hauled to a coal handling and preparation plant (CHPP), which could produce approximately 700 000 product tonnes per annum at full production.</w:t>
      </w:r>
      <w:r>
        <w:rPr>
          <w:szCs w:val="24"/>
        </w:rPr>
        <w:t xml:space="preserve"> The </w:t>
      </w:r>
      <w:r w:rsidRPr="00F83AC3">
        <w:rPr>
          <w:szCs w:val="24"/>
        </w:rPr>
        <w:t xml:space="preserve">proposed layout of the facilities and the mine pit </w:t>
      </w:r>
      <w:r>
        <w:rPr>
          <w:szCs w:val="24"/>
        </w:rPr>
        <w:t>is shown in Figure 2:</w:t>
      </w:r>
    </w:p>
    <w:p w:rsidR="00A00BE1" w:rsidRDefault="00A00BE1">
      <w:pPr>
        <w:spacing w:after="0" w:line="240" w:lineRule="auto"/>
        <w:rPr>
          <w:rFonts w:cs="Arial"/>
          <w:b/>
          <w:bCs/>
          <w:iCs/>
          <w:color w:val="008091"/>
          <w:sz w:val="28"/>
          <w:szCs w:val="32"/>
        </w:rPr>
      </w:pPr>
      <w:r>
        <w:rPr>
          <w:rFonts w:cs="Arial"/>
          <w:b/>
          <w:bCs/>
          <w:iCs/>
          <w:color w:val="008091"/>
          <w:sz w:val="28"/>
          <w:szCs w:val="32"/>
        </w:rPr>
        <w:br w:type="page"/>
      </w:r>
    </w:p>
    <w:p w:rsidR="00A00BE1" w:rsidRDefault="00A00BE1" w:rsidP="00A00BE1">
      <w:pPr>
        <w:pStyle w:val="Caption"/>
        <w:rPr>
          <w:rFonts w:cs="Arial"/>
          <w:b w:val="0"/>
          <w:bCs w:val="0"/>
          <w:iCs/>
          <w:color w:val="008091"/>
          <w:sz w:val="28"/>
          <w:szCs w:val="32"/>
        </w:rPr>
      </w:pPr>
      <w:r>
        <w:rPr>
          <w:rFonts w:cs="Arial"/>
          <w:b w:val="0"/>
          <w:bCs w:val="0"/>
          <w:iCs/>
          <w:noProof/>
          <w:color w:val="008091"/>
          <w:sz w:val="28"/>
          <w:szCs w:val="32"/>
          <w:lang w:eastAsia="en-AU"/>
        </w:rPr>
        <w:lastRenderedPageBreak/>
        <w:drawing>
          <wp:anchor distT="0" distB="0" distL="114300" distR="114300" simplePos="0" relativeHeight="251658240" behindDoc="1" locked="0" layoutInCell="1" allowOverlap="1">
            <wp:simplePos x="0" y="0"/>
            <wp:positionH relativeFrom="column">
              <wp:posOffset>-900430</wp:posOffset>
            </wp:positionH>
            <wp:positionV relativeFrom="paragraph">
              <wp:posOffset>1630680</wp:posOffset>
            </wp:positionV>
            <wp:extent cx="8392795" cy="5934075"/>
            <wp:effectExtent l="0" t="1276350" r="0" b="1266825"/>
            <wp:wrapTight wrapText="bothSides">
              <wp:wrapPolygon edited="0">
                <wp:start x="3040" y="-4646"/>
                <wp:lineTo x="3040" y="26211"/>
                <wp:lineTo x="18532" y="26211"/>
                <wp:lineTo x="18532" y="-4646"/>
                <wp:lineTo x="3040" y="-4646"/>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D Figure 2.JPG"/>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392795" cy="5934075"/>
                    </a:xfrm>
                    <a:prstGeom prst="rect">
                      <a:avLst/>
                    </a:prstGeom>
                    <a:scene3d>
                      <a:camera prst="orthographicFront">
                        <a:rot lat="0" lon="0" rev="5400000"/>
                      </a:camera>
                      <a:lightRig rig="threePt" dir="t"/>
                    </a:scene3d>
                  </pic:spPr>
                </pic:pic>
              </a:graphicData>
            </a:graphic>
          </wp:anchor>
        </w:drawing>
      </w:r>
      <w:r>
        <w:t xml:space="preserve">Figure </w:t>
      </w:r>
      <w:r w:rsidR="002C17C3">
        <w:fldChar w:fldCharType="begin"/>
      </w:r>
      <w:r>
        <w:instrText xml:space="preserve"> SEQ Figure \* ARABIC </w:instrText>
      </w:r>
      <w:r w:rsidR="002C17C3">
        <w:fldChar w:fldCharType="separate"/>
      </w:r>
      <w:r w:rsidR="00B5174B">
        <w:rPr>
          <w:noProof/>
        </w:rPr>
        <w:t>2</w:t>
      </w:r>
      <w:r w:rsidR="002C17C3">
        <w:fldChar w:fldCharType="end"/>
      </w:r>
      <w:r>
        <w:t xml:space="preserve"> Proposed Pit Layout and Facilities</w:t>
      </w:r>
      <w:bookmarkStart w:id="36" w:name="_GoBack"/>
      <w:bookmarkEnd w:id="36"/>
    </w:p>
    <w:p w:rsidR="00A00BE1" w:rsidRPr="00F83AC3" w:rsidRDefault="00A00BE1" w:rsidP="00251F69">
      <w:pPr>
        <w:pStyle w:val="Heading2Normal"/>
      </w:pPr>
      <w:r w:rsidRPr="00F83AC3">
        <w:lastRenderedPageBreak/>
        <w:t>Mining Process</w:t>
      </w:r>
    </w:p>
    <w:p w:rsidR="00A00BE1" w:rsidRPr="00F83AC3" w:rsidRDefault="00A00BE1" w:rsidP="005E0961">
      <w:pPr>
        <w:spacing w:after="240"/>
        <w:rPr>
          <w:szCs w:val="24"/>
        </w:rPr>
      </w:pPr>
      <w:r w:rsidRPr="00F83AC3">
        <w:rPr>
          <w:szCs w:val="24"/>
        </w:rPr>
        <w:t>We propose an open cut excavator/truck fleet operation that is supported by production dozers as the mining method for the project.</w:t>
      </w:r>
    </w:p>
    <w:p w:rsidR="00B35737" w:rsidRPr="00F83AC3" w:rsidRDefault="00B35737" w:rsidP="00251F69">
      <w:pPr>
        <w:pStyle w:val="Heading2Normal"/>
      </w:pPr>
      <w:r w:rsidRPr="00F83AC3">
        <w:t>Regulatory approvals</w:t>
      </w:r>
      <w:bookmarkEnd w:id="28"/>
      <w:bookmarkEnd w:id="29"/>
      <w:bookmarkEnd w:id="30"/>
      <w:bookmarkEnd w:id="31"/>
      <w:bookmarkEnd w:id="32"/>
      <w:bookmarkEnd w:id="33"/>
      <w:bookmarkEnd w:id="34"/>
      <w:bookmarkEnd w:id="35"/>
      <w:r w:rsidRPr="00F83AC3">
        <w:t xml:space="preserve"> </w:t>
      </w:r>
    </w:p>
    <w:p w:rsidR="00B35737" w:rsidRPr="00F83AC3" w:rsidRDefault="00B35737" w:rsidP="005E0961">
      <w:pPr>
        <w:spacing w:after="240"/>
        <w:rPr>
          <w:szCs w:val="24"/>
        </w:rPr>
      </w:pPr>
      <w:r w:rsidRPr="00F83AC3">
        <w:rPr>
          <w:szCs w:val="24"/>
        </w:rPr>
        <w:t>In Tasmania, a mining lease is obtained via approvals under three pieces of State legislation.</w:t>
      </w:r>
    </w:p>
    <w:p w:rsidR="00B35737" w:rsidRPr="00F83AC3" w:rsidRDefault="00B35737" w:rsidP="005E0961">
      <w:pPr>
        <w:spacing w:after="240"/>
        <w:rPr>
          <w:szCs w:val="24"/>
        </w:rPr>
      </w:pPr>
      <w:r w:rsidRPr="00F83AC3">
        <w:rPr>
          <w:szCs w:val="24"/>
        </w:rPr>
        <w:t xml:space="preserve">A permit application is required to be submitted to the Central Highlands Council (Council) in compliance with the </w:t>
      </w:r>
      <w:r w:rsidRPr="00F83AC3">
        <w:rPr>
          <w:i/>
          <w:szCs w:val="24"/>
        </w:rPr>
        <w:t>Land Use Planning and Approvals Act 1993</w:t>
      </w:r>
      <w:r w:rsidRPr="00F83AC3">
        <w:rPr>
          <w:szCs w:val="24"/>
        </w:rPr>
        <w:t xml:space="preserve"> (LUPA Act). This application will initiate the referral to the EPA for assessment of the project under the </w:t>
      </w:r>
      <w:r w:rsidRPr="00F83AC3">
        <w:rPr>
          <w:i/>
          <w:szCs w:val="24"/>
        </w:rPr>
        <w:t xml:space="preserve">Environmental Management and Pollution Control Act 1994 </w:t>
      </w:r>
      <w:r w:rsidRPr="00F83AC3">
        <w:rPr>
          <w:szCs w:val="24"/>
        </w:rPr>
        <w:t>(EMPC Act).</w:t>
      </w:r>
    </w:p>
    <w:p w:rsidR="00B35737" w:rsidRPr="00F83AC3" w:rsidRDefault="00B35737" w:rsidP="005E0961">
      <w:pPr>
        <w:spacing w:after="240"/>
        <w:rPr>
          <w:szCs w:val="24"/>
        </w:rPr>
      </w:pPr>
      <w:r w:rsidRPr="00F83AC3">
        <w:rPr>
          <w:szCs w:val="24"/>
        </w:rPr>
        <w:t xml:space="preserve">A Notice of Intent (NOI) to Council is required under the EMPC Act, which is essentially a scoping study that outlines the project, describes the environment, identifies potential impacts and presents the scope of the environmental and social investigations.  </w:t>
      </w:r>
    </w:p>
    <w:p w:rsidR="00B35737" w:rsidRPr="00F83AC3" w:rsidRDefault="00B35737" w:rsidP="005E0961">
      <w:pPr>
        <w:spacing w:after="240"/>
        <w:rPr>
          <w:szCs w:val="24"/>
        </w:rPr>
      </w:pPr>
      <w:r w:rsidRPr="00F83AC3">
        <w:rPr>
          <w:szCs w:val="24"/>
        </w:rPr>
        <w:t xml:space="preserve">A mining lease application is required under the </w:t>
      </w:r>
      <w:r w:rsidRPr="00F83AC3">
        <w:rPr>
          <w:i/>
          <w:szCs w:val="24"/>
        </w:rPr>
        <w:t>Mining Resources Development Act 1995</w:t>
      </w:r>
      <w:r w:rsidRPr="00F83AC3">
        <w:rPr>
          <w:szCs w:val="24"/>
        </w:rPr>
        <w:t xml:space="preserve"> (MRD Act), which requires an assessment of environmental impact. In order for mining to take place however, a permit must be first approved by the EPA.</w:t>
      </w:r>
    </w:p>
    <w:p w:rsidR="00B35737" w:rsidRPr="00F83AC3" w:rsidRDefault="00B35737" w:rsidP="005E0961">
      <w:pPr>
        <w:spacing w:after="240"/>
        <w:rPr>
          <w:szCs w:val="24"/>
        </w:rPr>
      </w:pPr>
      <w:r w:rsidRPr="00F83AC3">
        <w:rPr>
          <w:szCs w:val="24"/>
        </w:rPr>
        <w:t xml:space="preserve">A desktop environmental baseline study will be completed as part of the approvals process. This will involve the review of existing data to identify the key environmental factors likely to be impacted by the project. A site walkover will be conducted by the specialist ecologist to provide preliminary flora and fauna descriptions for the study area and to determine likely impacts. </w:t>
      </w:r>
    </w:p>
    <w:p w:rsidR="00B35737" w:rsidRPr="00F83AC3" w:rsidRDefault="00B35737" w:rsidP="00B35737">
      <w:pPr>
        <w:rPr>
          <w:szCs w:val="24"/>
        </w:rPr>
      </w:pPr>
      <w:r w:rsidRPr="00F83AC3">
        <w:rPr>
          <w:szCs w:val="24"/>
        </w:rPr>
        <w:t>Stakeholder engagement is a requirement of the approvals process. It is also essential to the success of the project, ensuring stakeholders are informed and that stakeholder issues are identified and considered in the early stage of the project. The processes involved in this stage will include:</w:t>
      </w:r>
    </w:p>
    <w:p w:rsidR="00B35737" w:rsidRPr="00F83AC3" w:rsidRDefault="00B35737" w:rsidP="00E751F6">
      <w:pPr>
        <w:pStyle w:val="Bullets"/>
      </w:pPr>
      <w:r w:rsidRPr="00F83AC3">
        <w:t>Identification of the key stakeholders</w:t>
      </w:r>
    </w:p>
    <w:p w:rsidR="00B35737" w:rsidRPr="00F83AC3" w:rsidRDefault="00B35737" w:rsidP="00E751F6">
      <w:pPr>
        <w:pStyle w:val="Bullets"/>
      </w:pPr>
      <w:r w:rsidRPr="00F83AC3">
        <w:t>Preparation of a stakeholder engagement strategy</w:t>
      </w:r>
    </w:p>
    <w:p w:rsidR="00B35737" w:rsidRPr="00F83AC3" w:rsidRDefault="00B35737" w:rsidP="00E751F6">
      <w:pPr>
        <w:pStyle w:val="Bullets"/>
      </w:pPr>
      <w:r w:rsidRPr="00F83AC3">
        <w:t>Coordination, preparation and attendance of stakeholder meetings</w:t>
      </w:r>
    </w:p>
    <w:p w:rsidR="00B35737" w:rsidRPr="00F83AC3" w:rsidRDefault="00B35737" w:rsidP="005E0961">
      <w:pPr>
        <w:pStyle w:val="Bullets"/>
        <w:spacing w:after="240"/>
      </w:pPr>
      <w:r w:rsidRPr="00F83AC3">
        <w:t xml:space="preserve">Completion of a site visit which will include a meeting with the MRT, EPA and other key stakeholders, as appropriate. </w:t>
      </w:r>
    </w:p>
    <w:p w:rsidR="00B35737" w:rsidRPr="00F83AC3" w:rsidRDefault="00B35737" w:rsidP="00251F69">
      <w:pPr>
        <w:pStyle w:val="Heading2Normal"/>
      </w:pPr>
      <w:bookmarkStart w:id="37" w:name="_Toc325461170"/>
      <w:bookmarkStart w:id="38" w:name="_Toc325461186"/>
      <w:bookmarkStart w:id="39" w:name="_Toc325463682"/>
      <w:bookmarkStart w:id="40" w:name="_Toc325463697"/>
      <w:bookmarkEnd w:id="37"/>
      <w:bookmarkEnd w:id="38"/>
      <w:r w:rsidRPr="00F83AC3">
        <w:t>Environmental and Social Impact Assessment Study</w:t>
      </w:r>
      <w:bookmarkEnd w:id="39"/>
      <w:bookmarkEnd w:id="40"/>
    </w:p>
    <w:p w:rsidR="00B35737" w:rsidRPr="00F83AC3" w:rsidRDefault="00B35737" w:rsidP="005E0961">
      <w:pPr>
        <w:spacing w:after="240"/>
        <w:rPr>
          <w:szCs w:val="24"/>
        </w:rPr>
      </w:pPr>
      <w:r w:rsidRPr="00F83AC3">
        <w:rPr>
          <w:szCs w:val="24"/>
        </w:rPr>
        <w:t>The NOI is used by the EPA to determine the class of environmental and social impact assessment (ESIA) for the project and to prepare the guidelines to be addressed. ESIA will be undertaken to address the EPA guidelines.</w:t>
      </w:r>
    </w:p>
    <w:p w:rsidR="00F83AC3" w:rsidRPr="00F83AC3" w:rsidRDefault="00F83AC3" w:rsidP="00F83AC3">
      <w:pPr>
        <w:rPr>
          <w:szCs w:val="24"/>
        </w:rPr>
      </w:pPr>
    </w:p>
    <w:p w:rsidR="00B35737" w:rsidRDefault="00B35737">
      <w:pPr>
        <w:spacing w:after="0" w:line="240" w:lineRule="auto"/>
        <w:rPr>
          <w:szCs w:val="24"/>
        </w:rPr>
      </w:pPr>
      <w:r>
        <w:rPr>
          <w:szCs w:val="24"/>
        </w:rPr>
        <w:br w:type="page"/>
      </w:r>
    </w:p>
    <w:p w:rsidR="00F83AC3" w:rsidRPr="00F83AC3" w:rsidRDefault="00F83AC3" w:rsidP="00B6344F">
      <w:pPr>
        <w:pStyle w:val="Heading1Normal"/>
      </w:pPr>
      <w:bookmarkStart w:id="41" w:name="_Toc325370827"/>
      <w:bookmarkStart w:id="42" w:name="_Toc325370838"/>
      <w:bookmarkStart w:id="43" w:name="_Toc325370849"/>
      <w:bookmarkStart w:id="44" w:name="_Toc325370858"/>
      <w:bookmarkStart w:id="45" w:name="_Toc325370867"/>
      <w:bookmarkStart w:id="46" w:name="_Toc325370875"/>
      <w:bookmarkStart w:id="47" w:name="_Toc325370992"/>
      <w:bookmarkStart w:id="48" w:name="_Toc325371007"/>
      <w:bookmarkStart w:id="49" w:name="_Toc325371021"/>
      <w:bookmarkStart w:id="50" w:name="_Toc325371032"/>
      <w:bookmarkStart w:id="51" w:name="_Toc325460045"/>
      <w:bookmarkStart w:id="52" w:name="_Toc325460058"/>
      <w:bookmarkStart w:id="53" w:name="_Toc325461128"/>
      <w:bookmarkStart w:id="54" w:name="_Toc325461150"/>
      <w:bookmarkStart w:id="55" w:name="_Toc325461165"/>
      <w:bookmarkStart w:id="56" w:name="_Toc325461181"/>
      <w:bookmarkStart w:id="57" w:name="_Toc325463679"/>
      <w:bookmarkStart w:id="58" w:name="_Toc325463694"/>
      <w:bookmarkEnd w:id="41"/>
      <w:r w:rsidRPr="00F83AC3">
        <w:lastRenderedPageBreak/>
        <w:t>Proposed Development Schedule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rsidR="00F83AC3" w:rsidRPr="00F83AC3" w:rsidRDefault="00F83AC3" w:rsidP="005E0961">
      <w:pPr>
        <w:spacing w:after="240"/>
        <w:rPr>
          <w:szCs w:val="24"/>
        </w:rPr>
      </w:pPr>
      <w:r w:rsidRPr="00F83AC3">
        <w:rPr>
          <w:szCs w:val="24"/>
        </w:rPr>
        <w:t>We expect that securing the environmental and mining permit consents necessary to begin development and mining activities will require the most critical lead time in the development of the new mine. Due to the overall size of the project, we do not anticipate that much lead time will be necessary to purchase, erect, install or commission any of the fixed and mobile equipment. We also anticipate that little lead time will be required for the development of haul roads, topsoil removal, drainage control and associated activities.</w:t>
      </w:r>
    </w:p>
    <w:p w:rsidR="00F83AC3" w:rsidRPr="00F83AC3" w:rsidRDefault="00F83AC3" w:rsidP="00251F69">
      <w:pPr>
        <w:pStyle w:val="Heading1Normal"/>
      </w:pPr>
      <w:bookmarkStart w:id="59" w:name="_Toc325370839"/>
      <w:bookmarkStart w:id="60" w:name="_Toc325370861"/>
      <w:bookmarkStart w:id="61" w:name="_Toc325370870"/>
      <w:bookmarkStart w:id="62" w:name="_Toc325370878"/>
      <w:bookmarkStart w:id="63" w:name="_Toc325370995"/>
      <w:bookmarkStart w:id="64" w:name="_Toc325371010"/>
      <w:bookmarkStart w:id="65" w:name="_Toc325371024"/>
      <w:bookmarkStart w:id="66" w:name="_Toc325371035"/>
      <w:bookmarkStart w:id="67" w:name="_Toc325460049"/>
      <w:bookmarkStart w:id="68" w:name="_Toc325460062"/>
      <w:bookmarkStart w:id="69" w:name="_Toc325461133"/>
      <w:bookmarkStart w:id="70" w:name="_Toc325461156"/>
      <w:bookmarkStart w:id="71" w:name="_Toc325461172"/>
      <w:bookmarkStart w:id="72" w:name="_Toc325461188"/>
      <w:bookmarkStart w:id="73" w:name="_Toc325463685"/>
      <w:bookmarkStart w:id="74" w:name="_Toc325463701"/>
      <w:bookmarkEnd w:id="59"/>
      <w:bookmarkEnd w:id="60"/>
      <w:r w:rsidRPr="00F83AC3">
        <w:t>Treatment Process</w:t>
      </w:r>
      <w:bookmarkEnd w:id="61"/>
      <w:bookmarkEnd w:id="62"/>
      <w:bookmarkEnd w:id="63"/>
      <w:bookmarkEnd w:id="64"/>
      <w:bookmarkEnd w:id="65"/>
      <w:bookmarkEnd w:id="66"/>
      <w:bookmarkEnd w:id="67"/>
      <w:bookmarkEnd w:id="68"/>
      <w:bookmarkEnd w:id="69"/>
      <w:bookmarkEnd w:id="70"/>
      <w:bookmarkEnd w:id="71"/>
      <w:bookmarkEnd w:id="72"/>
      <w:bookmarkEnd w:id="73"/>
      <w:bookmarkEnd w:id="74"/>
    </w:p>
    <w:p w:rsidR="00F83AC3" w:rsidRPr="00F83AC3" w:rsidRDefault="00F83AC3" w:rsidP="005E0961">
      <w:pPr>
        <w:spacing w:after="240"/>
        <w:rPr>
          <w:szCs w:val="24"/>
        </w:rPr>
      </w:pPr>
      <w:r w:rsidRPr="00F83AC3">
        <w:rPr>
          <w:szCs w:val="24"/>
        </w:rPr>
        <w:t>We propose that a CHPP be developed for washing extracted coal in order to reduce ash content. From samples sent for test burns, we have determined that it is unlikely that an unwashed coal product would be acceptable for the export thermal coal market, containing approximately 20 percent ash (</w:t>
      </w:r>
      <w:proofErr w:type="spellStart"/>
      <w:r w:rsidRPr="00F83AC3">
        <w:rPr>
          <w:szCs w:val="24"/>
        </w:rPr>
        <w:t>adb</w:t>
      </w:r>
      <w:proofErr w:type="spellEnd"/>
      <w:r w:rsidRPr="00F83AC3">
        <w:rPr>
          <w:szCs w:val="24"/>
        </w:rPr>
        <w:t xml:space="preserve">). </w:t>
      </w:r>
    </w:p>
    <w:p w:rsidR="00F83AC3" w:rsidRPr="00F83AC3" w:rsidRDefault="00F83AC3" w:rsidP="005E0961">
      <w:pPr>
        <w:spacing w:after="240"/>
        <w:rPr>
          <w:szCs w:val="24"/>
        </w:rPr>
      </w:pPr>
      <w:r w:rsidRPr="00F83AC3">
        <w:rPr>
          <w:szCs w:val="24"/>
        </w:rPr>
        <w:t xml:space="preserve">We recommend that all coal seams be washed after extraction. This will reduce ash content to between fifteen and eighteen percent and increase the ability of the coal to combust in a power station, thereby maximising resource utilisation. </w:t>
      </w:r>
    </w:p>
    <w:p w:rsidR="00F83AC3" w:rsidRPr="00F83AC3" w:rsidRDefault="00F83AC3" w:rsidP="005E0961">
      <w:pPr>
        <w:spacing w:after="240"/>
        <w:rPr>
          <w:szCs w:val="24"/>
        </w:rPr>
      </w:pPr>
      <w:r w:rsidRPr="00F83AC3">
        <w:rPr>
          <w:szCs w:val="24"/>
        </w:rPr>
        <w:t>This produced coal could technically be suitable for the export thermal coal market. However, it is most likely that coal from the project will be best suited as a blending product with other coals, which will increase the ability of the coal to combust in a power station.</w:t>
      </w:r>
    </w:p>
    <w:p w:rsidR="00F83AC3" w:rsidRPr="00F83AC3" w:rsidRDefault="00F83AC3" w:rsidP="00251F69">
      <w:pPr>
        <w:pStyle w:val="Heading1Normal"/>
      </w:pPr>
      <w:bookmarkStart w:id="75" w:name="_Toc325370871"/>
      <w:bookmarkStart w:id="76" w:name="_Toc325370879"/>
      <w:bookmarkStart w:id="77" w:name="_Toc325370996"/>
      <w:bookmarkStart w:id="78" w:name="_Toc325371011"/>
      <w:bookmarkStart w:id="79" w:name="_Toc325371025"/>
      <w:bookmarkStart w:id="80" w:name="_Toc325371036"/>
      <w:bookmarkStart w:id="81" w:name="_Toc325460050"/>
      <w:bookmarkStart w:id="82" w:name="_Toc325460063"/>
      <w:bookmarkStart w:id="83" w:name="_Toc325461134"/>
      <w:bookmarkStart w:id="84" w:name="_Toc325461157"/>
      <w:bookmarkStart w:id="85" w:name="_Toc325461173"/>
      <w:bookmarkStart w:id="86" w:name="_Toc325461189"/>
      <w:bookmarkStart w:id="87" w:name="_Toc325463686"/>
      <w:bookmarkStart w:id="88" w:name="_Toc325463702"/>
      <w:bookmarkEnd w:id="75"/>
      <w:r w:rsidRPr="00F83AC3">
        <w:t>Mining Schedule</w:t>
      </w:r>
      <w:bookmarkEnd w:id="76"/>
      <w:bookmarkEnd w:id="77"/>
      <w:bookmarkEnd w:id="78"/>
      <w:bookmarkEnd w:id="79"/>
      <w:bookmarkEnd w:id="80"/>
      <w:bookmarkEnd w:id="81"/>
      <w:bookmarkEnd w:id="82"/>
      <w:bookmarkEnd w:id="83"/>
      <w:bookmarkEnd w:id="84"/>
      <w:bookmarkEnd w:id="85"/>
      <w:bookmarkEnd w:id="86"/>
      <w:bookmarkEnd w:id="87"/>
      <w:bookmarkEnd w:id="88"/>
    </w:p>
    <w:p w:rsidR="00F83AC3" w:rsidRPr="00F83AC3" w:rsidRDefault="00F83AC3" w:rsidP="005E0961">
      <w:pPr>
        <w:spacing w:after="240"/>
        <w:rPr>
          <w:szCs w:val="24"/>
        </w:rPr>
      </w:pPr>
      <w:r w:rsidRPr="00F83AC3">
        <w:rPr>
          <w:szCs w:val="24"/>
        </w:rPr>
        <w:t>To operate, maintain and supervise the mine, we have estimated that a workforce size of 39 employees (refer to Section 1.10). This assumes that operations at the mine will follow a schedule of twelve hours per shift, one shift per day and six days per week for a total of 313 days per year.</w:t>
      </w:r>
    </w:p>
    <w:p w:rsidR="00F83AC3" w:rsidRPr="00F83AC3" w:rsidRDefault="00F83AC3" w:rsidP="00251F69">
      <w:pPr>
        <w:pStyle w:val="Heading1Normal"/>
      </w:pPr>
      <w:bookmarkStart w:id="89" w:name="_Toc325370880"/>
      <w:bookmarkStart w:id="90" w:name="_Toc325370997"/>
      <w:bookmarkStart w:id="91" w:name="_Toc325371012"/>
      <w:bookmarkStart w:id="92" w:name="_Toc325371026"/>
      <w:bookmarkStart w:id="93" w:name="_Toc325371037"/>
      <w:bookmarkStart w:id="94" w:name="_Toc325460051"/>
      <w:bookmarkStart w:id="95" w:name="_Toc325460064"/>
      <w:bookmarkStart w:id="96" w:name="_Toc325461135"/>
      <w:bookmarkStart w:id="97" w:name="_Toc325461158"/>
      <w:bookmarkStart w:id="98" w:name="_Toc325461174"/>
      <w:bookmarkStart w:id="99" w:name="_Toc325461190"/>
      <w:bookmarkStart w:id="100" w:name="_Toc325463687"/>
      <w:bookmarkStart w:id="101" w:name="_Toc325463703"/>
      <w:bookmarkEnd w:id="89"/>
      <w:r w:rsidRPr="00F83AC3">
        <w:t>Water Management and Use</w:t>
      </w:r>
      <w:bookmarkEnd w:id="90"/>
      <w:bookmarkEnd w:id="91"/>
      <w:bookmarkEnd w:id="92"/>
      <w:bookmarkEnd w:id="93"/>
      <w:bookmarkEnd w:id="94"/>
      <w:bookmarkEnd w:id="95"/>
      <w:bookmarkEnd w:id="96"/>
      <w:bookmarkEnd w:id="97"/>
      <w:bookmarkEnd w:id="98"/>
      <w:bookmarkEnd w:id="99"/>
      <w:bookmarkEnd w:id="100"/>
      <w:bookmarkEnd w:id="101"/>
    </w:p>
    <w:p w:rsidR="00F83AC3" w:rsidRPr="00F83AC3" w:rsidRDefault="00F83AC3" w:rsidP="005E0961">
      <w:pPr>
        <w:spacing w:after="240"/>
        <w:rPr>
          <w:szCs w:val="24"/>
        </w:rPr>
      </w:pPr>
      <w:r w:rsidRPr="00F83AC3">
        <w:rPr>
          <w:szCs w:val="24"/>
        </w:rPr>
        <w:t xml:space="preserve">Water management at the mine site will require the development of water management structures. It is a common mining practice to have at least one sizable dam for onsite water management and storage purposes, and we propose the establishment of a water storage dam for water from both the mine and the CHPP. The proposed location of the dam can be viewed in </w:t>
      </w:r>
      <w:r w:rsidR="005D0C9D">
        <w:rPr>
          <w:szCs w:val="24"/>
        </w:rPr>
        <w:t>Figure 2</w:t>
      </w:r>
      <w:r w:rsidRPr="00F83AC3">
        <w:rPr>
          <w:szCs w:val="24"/>
        </w:rPr>
        <w:t xml:space="preserve"> above.</w:t>
      </w:r>
    </w:p>
    <w:p w:rsidR="00F83AC3" w:rsidRPr="00F83AC3" w:rsidRDefault="00F83AC3" w:rsidP="005E0961">
      <w:pPr>
        <w:spacing w:after="240"/>
        <w:rPr>
          <w:szCs w:val="24"/>
        </w:rPr>
      </w:pPr>
      <w:r w:rsidRPr="00F83AC3">
        <w:rPr>
          <w:szCs w:val="24"/>
        </w:rPr>
        <w:t>Mine water and dirty runoff is to be directed towards either the proposed mine pit or the dam. Clean water runoff should be directed away from the water management system where possible. Drains will have to be moved as the mine progresses in order to separate clean and dirty water. Other minor sediment control structures such as traps and small dams may also be required.</w:t>
      </w:r>
    </w:p>
    <w:p w:rsidR="00F83AC3" w:rsidRPr="00F83AC3" w:rsidRDefault="00F83AC3" w:rsidP="00F83AC3">
      <w:pPr>
        <w:rPr>
          <w:szCs w:val="24"/>
        </w:rPr>
      </w:pPr>
      <w:r w:rsidRPr="00F83AC3">
        <w:rPr>
          <w:szCs w:val="24"/>
        </w:rPr>
        <w:t xml:space="preserve"> We have verified that any of the following water sources are available for the operations of the project:</w:t>
      </w:r>
    </w:p>
    <w:p w:rsidR="00F83AC3" w:rsidRPr="00F83AC3" w:rsidRDefault="005D0C9D" w:rsidP="00B6344F">
      <w:pPr>
        <w:pStyle w:val="Bullets"/>
      </w:pPr>
      <w:r>
        <w:t>W</w:t>
      </w:r>
      <w:r w:rsidR="00F83AC3" w:rsidRPr="00F83AC3">
        <w:t>ater licences from purchased properties</w:t>
      </w:r>
    </w:p>
    <w:p w:rsidR="00F83AC3" w:rsidRPr="00F83AC3" w:rsidRDefault="005D0C9D" w:rsidP="00B6344F">
      <w:pPr>
        <w:pStyle w:val="Bullets"/>
      </w:pPr>
      <w:r>
        <w:t>O</w:t>
      </w:r>
      <w:r w:rsidR="00F83AC3" w:rsidRPr="00F83AC3">
        <w:t>nsite sources including pit water and water stored in onsite dams</w:t>
      </w:r>
    </w:p>
    <w:p w:rsidR="00F83AC3" w:rsidRPr="00F83AC3" w:rsidRDefault="00F83AC3" w:rsidP="005E0961">
      <w:pPr>
        <w:pStyle w:val="Bullets"/>
        <w:spacing w:after="240"/>
      </w:pPr>
      <w:r w:rsidRPr="00F83AC3">
        <w:t>Meadowbank Lake.</w:t>
      </w:r>
    </w:p>
    <w:p w:rsidR="00F83AC3" w:rsidRPr="00F83AC3" w:rsidRDefault="00F83AC3" w:rsidP="00251F69">
      <w:pPr>
        <w:pStyle w:val="Heading1Normal"/>
      </w:pPr>
      <w:bookmarkStart w:id="102" w:name="_Toc325370998"/>
      <w:bookmarkStart w:id="103" w:name="_Toc325371013"/>
      <w:bookmarkStart w:id="104" w:name="_Toc325371027"/>
      <w:bookmarkStart w:id="105" w:name="_Toc325371038"/>
      <w:bookmarkStart w:id="106" w:name="_Toc325460052"/>
      <w:bookmarkStart w:id="107" w:name="_Toc325460065"/>
      <w:bookmarkStart w:id="108" w:name="_Toc325461136"/>
      <w:bookmarkStart w:id="109" w:name="_Toc325461159"/>
      <w:bookmarkStart w:id="110" w:name="_Toc325461175"/>
      <w:bookmarkStart w:id="111" w:name="_Toc325461191"/>
      <w:bookmarkStart w:id="112" w:name="_Toc325463688"/>
      <w:bookmarkStart w:id="113" w:name="_Toc325463704"/>
      <w:bookmarkEnd w:id="102"/>
      <w:r w:rsidRPr="00F83AC3">
        <w:t>Transport Infrastructure</w:t>
      </w:r>
      <w:bookmarkEnd w:id="103"/>
      <w:bookmarkEnd w:id="104"/>
      <w:bookmarkEnd w:id="105"/>
      <w:bookmarkEnd w:id="106"/>
      <w:bookmarkEnd w:id="107"/>
      <w:bookmarkEnd w:id="108"/>
      <w:bookmarkEnd w:id="109"/>
      <w:bookmarkEnd w:id="110"/>
      <w:bookmarkEnd w:id="111"/>
      <w:bookmarkEnd w:id="112"/>
      <w:bookmarkEnd w:id="113"/>
    </w:p>
    <w:p w:rsidR="00F83AC3" w:rsidRPr="00F83AC3" w:rsidRDefault="00F83AC3" w:rsidP="00F83AC3">
      <w:pPr>
        <w:rPr>
          <w:szCs w:val="24"/>
        </w:rPr>
      </w:pPr>
      <w:r w:rsidRPr="00F83AC3">
        <w:rPr>
          <w:szCs w:val="24"/>
        </w:rPr>
        <w:t xml:space="preserve">We have identified the following three potential alternatives for hauling the product coal from the mine to a port: </w:t>
      </w:r>
    </w:p>
    <w:p w:rsidR="00F83AC3" w:rsidRPr="00F83AC3" w:rsidRDefault="005D0C9D" w:rsidP="00113B6B">
      <w:pPr>
        <w:pStyle w:val="Bullets"/>
      </w:pPr>
      <w:r>
        <w:t>T</w:t>
      </w:r>
      <w:r w:rsidR="00F83AC3" w:rsidRPr="00F83AC3">
        <w:t xml:space="preserve">ruck haulage only </w:t>
      </w:r>
    </w:p>
    <w:p w:rsidR="00F83AC3" w:rsidRPr="00F83AC3" w:rsidRDefault="005D0C9D" w:rsidP="00113B6B">
      <w:pPr>
        <w:pStyle w:val="Bullets"/>
      </w:pPr>
      <w:r>
        <w:t>T</w:t>
      </w:r>
      <w:r w:rsidR="00F83AC3" w:rsidRPr="00F83AC3">
        <w:t>ruck haulage combined with rail haulage</w:t>
      </w:r>
    </w:p>
    <w:p w:rsidR="00F83AC3" w:rsidRPr="00F83AC3" w:rsidRDefault="005D0C9D" w:rsidP="005E0961">
      <w:pPr>
        <w:pStyle w:val="Bullets"/>
        <w:spacing w:after="240"/>
      </w:pPr>
      <w:r>
        <w:t>T</w:t>
      </w:r>
      <w:r w:rsidR="00F83AC3" w:rsidRPr="00F83AC3">
        <w:t xml:space="preserve">ruck haulage combined with barging. </w:t>
      </w:r>
    </w:p>
    <w:p w:rsidR="00F83AC3" w:rsidRPr="00F83AC3" w:rsidRDefault="00F83AC3" w:rsidP="005E0961">
      <w:pPr>
        <w:spacing w:after="240"/>
        <w:rPr>
          <w:szCs w:val="24"/>
        </w:rPr>
      </w:pPr>
      <w:r w:rsidRPr="00F83AC3">
        <w:rPr>
          <w:szCs w:val="24"/>
        </w:rPr>
        <w:t xml:space="preserve">Most options would eventually transport the coal to the port at Bell Bay on the north-central coast of Tasmania, approximately 250 km from the project. </w:t>
      </w:r>
    </w:p>
    <w:p w:rsidR="00F83AC3" w:rsidRPr="00F83AC3" w:rsidRDefault="00F83AC3" w:rsidP="005E0961">
      <w:pPr>
        <w:spacing w:after="240"/>
        <w:rPr>
          <w:szCs w:val="24"/>
        </w:rPr>
      </w:pPr>
      <w:r w:rsidRPr="00F83AC3">
        <w:rPr>
          <w:szCs w:val="24"/>
        </w:rPr>
        <w:lastRenderedPageBreak/>
        <w:t>Another option would involve barging the coal down the river to a ship loading off the coast near Hobart.</w:t>
      </w:r>
    </w:p>
    <w:p w:rsidR="00F83AC3" w:rsidRPr="00F83AC3" w:rsidRDefault="00F83AC3" w:rsidP="005E0961">
      <w:pPr>
        <w:spacing w:after="240"/>
        <w:rPr>
          <w:szCs w:val="24"/>
        </w:rPr>
      </w:pPr>
      <w:r w:rsidRPr="00F83AC3">
        <w:rPr>
          <w:szCs w:val="24"/>
        </w:rPr>
        <w:t>We also propose the establishment of a park up area and mine road to allow access from the pit to run-of-mine (ROM) and maintenance areas. This park up area could either combine with a ROM pad or add space around the maintenance area for small amount of trucks.</w:t>
      </w:r>
    </w:p>
    <w:p w:rsidR="00F83AC3" w:rsidRPr="00F83AC3" w:rsidRDefault="00F83AC3" w:rsidP="00251F69">
      <w:pPr>
        <w:pStyle w:val="Heading1Normal"/>
      </w:pPr>
      <w:bookmarkStart w:id="114" w:name="_Toc325371014"/>
      <w:bookmarkStart w:id="115" w:name="_Toc325371028"/>
      <w:bookmarkStart w:id="116" w:name="_Toc325371039"/>
      <w:bookmarkStart w:id="117" w:name="_Toc325460053"/>
      <w:bookmarkStart w:id="118" w:name="_Toc325460066"/>
      <w:bookmarkStart w:id="119" w:name="_Toc325461137"/>
      <w:bookmarkStart w:id="120" w:name="_Toc325461160"/>
      <w:bookmarkStart w:id="121" w:name="_Toc325461176"/>
      <w:bookmarkStart w:id="122" w:name="_Toc325461192"/>
      <w:bookmarkStart w:id="123" w:name="_Toc325463689"/>
      <w:bookmarkStart w:id="124" w:name="_Toc325463705"/>
      <w:bookmarkEnd w:id="114"/>
      <w:r w:rsidRPr="00F83AC3">
        <w:t>Other Mine Infrastructure</w:t>
      </w:r>
      <w:bookmarkEnd w:id="115"/>
      <w:bookmarkEnd w:id="116"/>
      <w:bookmarkEnd w:id="117"/>
      <w:bookmarkEnd w:id="118"/>
      <w:bookmarkEnd w:id="119"/>
      <w:bookmarkEnd w:id="120"/>
      <w:bookmarkEnd w:id="121"/>
      <w:bookmarkEnd w:id="122"/>
      <w:bookmarkEnd w:id="123"/>
      <w:bookmarkEnd w:id="124"/>
    </w:p>
    <w:p w:rsidR="00F83AC3" w:rsidRPr="00F83AC3" w:rsidRDefault="00F83AC3" w:rsidP="005E0961">
      <w:pPr>
        <w:rPr>
          <w:szCs w:val="24"/>
        </w:rPr>
      </w:pPr>
      <w:bookmarkStart w:id="125" w:name="_Toc325371029"/>
      <w:bookmarkStart w:id="126" w:name="_Toc325371040"/>
      <w:bookmarkEnd w:id="125"/>
      <w:r w:rsidRPr="00F83AC3">
        <w:rPr>
          <w:szCs w:val="24"/>
        </w:rPr>
        <w:t>We propose that the infrastructure for the project to be kept to a minimum in order to control capital costs. Due to a predicted short mine life, we recommend that items be temporary and non-permanent, and that second hand items be sourced to assist in saving costs. We propose that in addition to water management structures and transport infrastructure, the following structures and items are required for the project:</w:t>
      </w:r>
    </w:p>
    <w:p w:rsidR="00F83AC3" w:rsidRPr="00F83AC3" w:rsidRDefault="00F83AC3" w:rsidP="00901F62">
      <w:pPr>
        <w:pStyle w:val="Bullets"/>
      </w:pPr>
      <w:r w:rsidRPr="00F83AC3">
        <w:t>Office building for administration (portable style)</w:t>
      </w:r>
    </w:p>
    <w:p w:rsidR="00F83AC3" w:rsidRPr="00F83AC3" w:rsidRDefault="00F83AC3" w:rsidP="00901F62">
      <w:pPr>
        <w:pStyle w:val="Bullets"/>
      </w:pPr>
      <w:r w:rsidRPr="00F83AC3">
        <w:t>Maintenance area or shed (or a covered, free draining and compacted pad)</w:t>
      </w:r>
    </w:p>
    <w:p w:rsidR="00F83AC3" w:rsidRPr="00F83AC3" w:rsidRDefault="00F83AC3" w:rsidP="00901F62">
      <w:pPr>
        <w:pStyle w:val="Bullets"/>
      </w:pPr>
      <w:r w:rsidRPr="00F83AC3">
        <w:t>CHPP for coal washing</w:t>
      </w:r>
    </w:p>
    <w:p w:rsidR="00F83AC3" w:rsidRPr="00F83AC3" w:rsidRDefault="00F83AC3" w:rsidP="00901F62">
      <w:pPr>
        <w:pStyle w:val="Bullets"/>
      </w:pPr>
      <w:r w:rsidRPr="00F83AC3">
        <w:t>ROM pad, conveyor to CHPP and crusher</w:t>
      </w:r>
    </w:p>
    <w:p w:rsidR="00F83AC3" w:rsidRPr="00F83AC3" w:rsidRDefault="00F83AC3" w:rsidP="005E0961">
      <w:pPr>
        <w:pStyle w:val="Bullets"/>
        <w:spacing w:after="240"/>
      </w:pPr>
      <w:r w:rsidRPr="00F83AC3">
        <w:t>Initial tailings storage area.</w:t>
      </w:r>
    </w:p>
    <w:p w:rsidR="00F83AC3" w:rsidRPr="00F83AC3" w:rsidRDefault="00F83AC3" w:rsidP="00251F69">
      <w:pPr>
        <w:pStyle w:val="Heading1Normal"/>
      </w:pPr>
      <w:bookmarkStart w:id="127" w:name="_Toc325460054"/>
      <w:bookmarkStart w:id="128" w:name="_Toc325460067"/>
      <w:bookmarkStart w:id="129" w:name="_Toc325461138"/>
      <w:bookmarkStart w:id="130" w:name="_Toc325461161"/>
      <w:bookmarkStart w:id="131" w:name="_Toc325461177"/>
      <w:bookmarkStart w:id="132" w:name="_Toc325461193"/>
      <w:bookmarkStart w:id="133" w:name="_Toc325463690"/>
      <w:bookmarkStart w:id="134" w:name="_Toc325463706"/>
      <w:r w:rsidRPr="00F83AC3">
        <w:t>Workforce</w:t>
      </w:r>
      <w:bookmarkEnd w:id="126"/>
      <w:bookmarkEnd w:id="127"/>
      <w:bookmarkEnd w:id="128"/>
      <w:bookmarkEnd w:id="129"/>
      <w:bookmarkEnd w:id="130"/>
      <w:bookmarkEnd w:id="131"/>
      <w:bookmarkEnd w:id="132"/>
      <w:bookmarkEnd w:id="133"/>
      <w:bookmarkEnd w:id="134"/>
    </w:p>
    <w:p w:rsidR="00F83AC3" w:rsidRPr="00F83AC3" w:rsidRDefault="00F83AC3" w:rsidP="005E0961">
      <w:pPr>
        <w:spacing w:after="240"/>
        <w:rPr>
          <w:szCs w:val="24"/>
        </w:rPr>
      </w:pPr>
      <w:r w:rsidRPr="00F83AC3">
        <w:rPr>
          <w:szCs w:val="24"/>
        </w:rPr>
        <w:t>To operate, maintain and supervise the mine, we have estimated that approximately 20 operations personnel, eight maintenance personnel and eleven salaried personnel for a total of 39 employees would be required to sustain operations.</w:t>
      </w:r>
    </w:p>
    <w:p w:rsidR="00F83AC3" w:rsidRPr="00F83AC3" w:rsidRDefault="00F83AC3" w:rsidP="00251F69">
      <w:pPr>
        <w:pStyle w:val="Heading1Normal"/>
      </w:pPr>
      <w:bookmarkStart w:id="135" w:name="_Toc325371041"/>
      <w:bookmarkStart w:id="136" w:name="_Toc325460055"/>
      <w:bookmarkStart w:id="137" w:name="_Toc325460068"/>
      <w:bookmarkStart w:id="138" w:name="_Toc325461139"/>
      <w:bookmarkStart w:id="139" w:name="_Toc325461162"/>
      <w:bookmarkStart w:id="140" w:name="_Toc325461178"/>
      <w:bookmarkStart w:id="141" w:name="_Toc325461194"/>
      <w:bookmarkStart w:id="142" w:name="_Toc325463691"/>
      <w:bookmarkStart w:id="143" w:name="_Toc325463707"/>
      <w:bookmarkEnd w:id="135"/>
      <w:r w:rsidRPr="00F83AC3">
        <w:t>Rehabilitation and Mine Closure</w:t>
      </w:r>
      <w:bookmarkEnd w:id="136"/>
      <w:bookmarkEnd w:id="137"/>
      <w:bookmarkEnd w:id="138"/>
      <w:bookmarkEnd w:id="139"/>
      <w:bookmarkEnd w:id="140"/>
      <w:bookmarkEnd w:id="141"/>
      <w:bookmarkEnd w:id="142"/>
      <w:bookmarkEnd w:id="143"/>
    </w:p>
    <w:p w:rsidR="00F83AC3" w:rsidRPr="00F83AC3" w:rsidRDefault="00F83AC3" w:rsidP="005E0961">
      <w:pPr>
        <w:spacing w:after="240"/>
        <w:rPr>
          <w:szCs w:val="24"/>
        </w:rPr>
      </w:pPr>
      <w:r w:rsidRPr="00F83AC3">
        <w:rPr>
          <w:szCs w:val="24"/>
        </w:rPr>
        <w:t>Final rehabilitation is assumed to be required after mining ceases.</w:t>
      </w:r>
    </w:p>
    <w:p w:rsidR="00F83AC3" w:rsidRPr="00F83AC3" w:rsidRDefault="00F83AC3" w:rsidP="005E0961">
      <w:pPr>
        <w:spacing w:after="240"/>
        <w:rPr>
          <w:szCs w:val="24"/>
        </w:rPr>
      </w:pPr>
      <w:r w:rsidRPr="00F83AC3">
        <w:rPr>
          <w:szCs w:val="24"/>
        </w:rPr>
        <w:t xml:space="preserve">In regards to environmental rehabilitation, we have assigned a Cat D9T dozer for 100 percent of our scheduled shifts to perform land shaping and finish grading activities in the spoil areas. The dozer can also assist with upper level spoil bench spreading as time permits. </w:t>
      </w:r>
    </w:p>
    <w:p w:rsidR="00F83AC3" w:rsidRPr="00F83AC3" w:rsidRDefault="00F83AC3" w:rsidP="005E0961">
      <w:pPr>
        <w:spacing w:after="240"/>
        <w:rPr>
          <w:szCs w:val="24"/>
        </w:rPr>
      </w:pPr>
      <w:r w:rsidRPr="00F83AC3">
        <w:rPr>
          <w:szCs w:val="24"/>
        </w:rPr>
        <w:t>In addition to this, a Cat 16M motor grader and a Cat CS-56 compactor are assigned to assist with preparation work on the final grading activities.</w:t>
      </w:r>
    </w:p>
    <w:p w:rsidR="00F83AC3" w:rsidRPr="00F83AC3" w:rsidRDefault="00F83AC3" w:rsidP="005E0961">
      <w:pPr>
        <w:spacing w:after="240"/>
        <w:rPr>
          <w:szCs w:val="24"/>
        </w:rPr>
      </w:pPr>
      <w:r w:rsidRPr="00F83AC3">
        <w:rPr>
          <w:szCs w:val="24"/>
        </w:rPr>
        <w:t xml:space="preserve">For the environmental drainage maintenance, we have assumed that a </w:t>
      </w:r>
      <w:proofErr w:type="spellStart"/>
      <w:r w:rsidRPr="00F83AC3">
        <w:rPr>
          <w:szCs w:val="24"/>
        </w:rPr>
        <w:t>Komatsi</w:t>
      </w:r>
      <w:proofErr w:type="spellEnd"/>
      <w:r w:rsidRPr="00F83AC3">
        <w:rPr>
          <w:szCs w:val="24"/>
        </w:rPr>
        <w:t xml:space="preserve"> PC-200-8 would be used to accomplish drainage construction and maintenance. This equipment will be shared with operations support.</w:t>
      </w:r>
    </w:p>
    <w:p w:rsidR="00F83AC3" w:rsidRPr="00F83AC3" w:rsidRDefault="00F83AC3" w:rsidP="005E0961">
      <w:pPr>
        <w:spacing w:after="240"/>
        <w:rPr>
          <w:szCs w:val="24"/>
        </w:rPr>
      </w:pPr>
      <w:r w:rsidRPr="00F83AC3">
        <w:rPr>
          <w:szCs w:val="24"/>
        </w:rPr>
        <w:t>We have nominated and allocated sufficient ex-pit waste dump storage for box cut waste material. Waste material from these dumps will be rehandled to assist with rehabilitating the final pit zones, which are proposed to occur in the sixth and eight years of the plan. We have assumed that the final pits can be designed to remain as water impoundment with the perimeter side slopes graded to accommodate stable slopes, revegetation and access.</w:t>
      </w:r>
    </w:p>
    <w:p w:rsidR="0018088D" w:rsidRDefault="0018088D" w:rsidP="000A5855"/>
    <w:p w:rsidR="0018088D" w:rsidRDefault="0018088D" w:rsidP="000A5855"/>
    <w:p w:rsidR="005E0961" w:rsidRDefault="005E0961" w:rsidP="000A5855"/>
    <w:p w:rsidR="009003DE" w:rsidRDefault="002C17C3" w:rsidP="009003DE">
      <w:pPr>
        <w:pStyle w:val="Signatories"/>
      </w:pPr>
      <w:fldSimple w:instr=" DOCPROPERTY  Signatory  \* MERGEFORMAT ">
        <w:r w:rsidR="00B5174B">
          <w:t>Alice Greenhill</w:t>
        </w:r>
      </w:fldSimple>
      <w:r w:rsidR="009003DE">
        <w:tab/>
      </w:r>
      <w:fldSimple w:instr=" DOCPROPERTY  &quot;Approved Signatory&quot;  \* MERGEFORMAT ">
        <w:r w:rsidR="00B5174B">
          <w:t>Cary Ehrman</w:t>
        </w:r>
      </w:fldSimple>
    </w:p>
    <w:p w:rsidR="009003DE" w:rsidRDefault="002C17C3" w:rsidP="009003DE">
      <w:pPr>
        <w:pStyle w:val="Signatories"/>
      </w:pPr>
      <w:fldSimple w:instr=" DOCPROPERTY  &quot;Signatory Title&quot;  \* MERGEFORMAT ">
        <w:r w:rsidR="00B5174B">
          <w:t>Environmental Scientist</w:t>
        </w:r>
      </w:fldSimple>
      <w:r w:rsidR="009003DE">
        <w:tab/>
      </w:r>
      <w:fldSimple w:instr=" DOCPROPERTY  &quot;Approved Signatory Title&quot;  \* MERGEFORMAT ">
        <w:r w:rsidR="00B5174B">
          <w:t>Associate</w:t>
        </w:r>
      </w:fldSimple>
    </w:p>
    <w:p w:rsidR="009003DE" w:rsidRDefault="009003DE" w:rsidP="009003DE">
      <w:pPr>
        <w:pStyle w:val="Signatories"/>
        <w:rPr>
          <w:rFonts w:cs="Arial"/>
          <w:szCs w:val="20"/>
        </w:rPr>
      </w:pPr>
    </w:p>
    <w:bookmarkStart w:id="144" w:name="Initials"/>
    <w:bookmarkEnd w:id="144"/>
    <w:p w:rsidR="009003DE" w:rsidRDefault="002C17C3" w:rsidP="009003DE">
      <w:pPr>
        <w:pStyle w:val="Initials"/>
      </w:pPr>
      <w:r>
        <w:fldChar w:fldCharType="begin"/>
      </w:r>
      <w:r w:rsidR="009003DE">
        <w:instrText xml:space="preserve"> DOCPROPERTY  Initials  \* MERGEFORMAT </w:instrText>
      </w:r>
      <w:r>
        <w:fldChar w:fldCharType="separate"/>
      </w:r>
      <w:r w:rsidR="00B5174B">
        <w:t>ALG/CLE/</w:t>
      </w:r>
      <w:proofErr w:type="spellStart"/>
      <w:r w:rsidR="00B5174B">
        <w:t>alg-cle</w:t>
      </w:r>
      <w:proofErr w:type="spellEnd"/>
      <w:r>
        <w:fldChar w:fldCharType="end"/>
      </w:r>
    </w:p>
    <w:p w:rsidR="009003DE" w:rsidRDefault="002C17C3" w:rsidP="00936C5B">
      <w:pPr>
        <w:pStyle w:val="Disclaimer"/>
      </w:pPr>
      <w:fldSimple w:instr=" FILENAME  \* Lower \p  \* MERGEFORMAT ">
        <w:r w:rsidR="00B5174B">
          <w:rPr>
            <w:noProof/>
          </w:rPr>
          <w:t>\\mel1-s-file01\jobs\mining\2012\127613050 indicoal\correspondence out\127613050-002-project description\127613050-002-r-reva-2 project description cle track changes.docx</w:t>
        </w:r>
      </w:fldSimple>
    </w:p>
    <w:sectPr w:rsidR="009003DE" w:rsidSect="005E0961">
      <w:type w:val="continuous"/>
      <w:pgSz w:w="11906" w:h="16838" w:code="9"/>
      <w:pgMar w:top="1392" w:right="851" w:bottom="1560" w:left="1418" w:header="567" w:footer="425"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E5BA0" w:rsidRDefault="00CE5BA0">
      <w:r>
        <w:separator/>
      </w:r>
    </w:p>
  </w:endnote>
  <w:endnote w:type="continuationSeparator" w:id="0">
    <w:p w:rsidR="00CE5BA0" w:rsidRDefault="00CE5BA0">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5BA0" w:rsidRDefault="00CE5BA0">
    <w:pPr>
      <w:pStyle w:val="Footer"/>
    </w:pPr>
  </w:p>
  <w:p w:rsidR="00CE5BA0" w:rsidRDefault="00CE5BA0"/>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0" w:type="auto"/>
      <w:tblBorders>
        <w:top w:val="single" w:sz="8" w:space="0" w:color="00755C"/>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tblPr>
    <w:tblGrid>
      <w:gridCol w:w="3198"/>
      <w:gridCol w:w="3203"/>
      <w:gridCol w:w="3236"/>
    </w:tblGrid>
    <w:tr w:rsidR="00CE5BA0">
      <w:trPr>
        <w:trHeight w:val="680"/>
      </w:trPr>
      <w:tc>
        <w:tcPr>
          <w:tcW w:w="3284" w:type="dxa"/>
        </w:tcPr>
        <w:p w:rsidR="00CE5BA0" w:rsidRDefault="00CE5BA0" w:rsidP="009C04F0">
          <w:pPr>
            <w:pStyle w:val="Footer"/>
            <w:rPr>
              <w:szCs w:val="16"/>
            </w:rPr>
          </w:pPr>
        </w:p>
      </w:tc>
      <w:tc>
        <w:tcPr>
          <w:tcW w:w="3284" w:type="dxa"/>
          <w:vAlign w:val="bottom"/>
        </w:tcPr>
        <w:p w:rsidR="00CE5BA0" w:rsidRPr="009C04F0" w:rsidRDefault="00CE5BA0" w:rsidP="00D557C1">
          <w:pPr>
            <w:pStyle w:val="Footer"/>
            <w:rPr>
              <w:sz w:val="16"/>
              <w:szCs w:val="16"/>
            </w:rPr>
          </w:pPr>
          <w:r w:rsidRPr="009C04F0">
            <w:rPr>
              <w:sz w:val="16"/>
              <w:szCs w:val="16"/>
            </w:rPr>
            <w:fldChar w:fldCharType="begin"/>
          </w:r>
          <w:r w:rsidRPr="009C04F0">
            <w:rPr>
              <w:sz w:val="16"/>
              <w:szCs w:val="16"/>
            </w:rPr>
            <w:instrText xml:space="preserve"> PAGE  \* Arabic  \* MERGEFORMAT </w:instrText>
          </w:r>
          <w:r w:rsidRPr="009C04F0">
            <w:rPr>
              <w:sz w:val="16"/>
              <w:szCs w:val="16"/>
            </w:rPr>
            <w:fldChar w:fldCharType="separate"/>
          </w:r>
          <w:r w:rsidR="00B5174B">
            <w:rPr>
              <w:noProof/>
              <w:sz w:val="16"/>
              <w:szCs w:val="16"/>
            </w:rPr>
            <w:t>6</w:t>
          </w:r>
          <w:r w:rsidRPr="009C04F0">
            <w:rPr>
              <w:sz w:val="16"/>
              <w:szCs w:val="16"/>
            </w:rPr>
            <w:fldChar w:fldCharType="end"/>
          </w:r>
          <w:r w:rsidRPr="009C04F0">
            <w:rPr>
              <w:sz w:val="16"/>
              <w:szCs w:val="16"/>
            </w:rPr>
            <w:t>/</w:t>
          </w:r>
          <w:fldSimple w:instr=" NUMPAGES  \* Arabic  \* MERGEFORMAT ">
            <w:r w:rsidR="00B5174B" w:rsidRPr="00B5174B">
              <w:rPr>
                <w:noProof/>
                <w:sz w:val="16"/>
                <w:szCs w:val="16"/>
              </w:rPr>
              <w:t>7</w:t>
            </w:r>
          </w:fldSimple>
        </w:p>
      </w:tc>
      <w:tc>
        <w:tcPr>
          <w:tcW w:w="3285" w:type="dxa"/>
          <w:vAlign w:val="bottom"/>
        </w:tcPr>
        <w:p w:rsidR="00CE5BA0" w:rsidRDefault="00CE5BA0" w:rsidP="00D557C1">
          <w:pPr>
            <w:pStyle w:val="Footer"/>
            <w:jc w:val="right"/>
            <w:rPr>
              <w:szCs w:val="16"/>
            </w:rPr>
          </w:pPr>
          <w:r>
            <w:rPr>
              <w:noProof/>
              <w:szCs w:val="16"/>
              <w:lang w:eastAsia="en-AU"/>
            </w:rPr>
            <w:drawing>
              <wp:inline distT="0" distB="0" distL="0" distR="0">
                <wp:extent cx="888365" cy="340995"/>
                <wp:effectExtent l="19050" t="0" r="6985" b="0"/>
                <wp:docPr id="1" name="Picture 1"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CE5BA0" w:rsidRDefault="00CE5BA0" w:rsidP="00C87672">
    <w:pPr>
      <w:pStyle w:val="Footer"/>
      <w:jc w:val="lef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pPr w:leftFromText="181" w:rightFromText="181" w:vertAnchor="page" w:tblpY="15140"/>
      <w:tblW w:w="9696" w:type="dxa"/>
      <w:tblBorders>
        <w:top w:val="single" w:sz="8" w:space="0" w:color="00755C"/>
        <w:left w:val="single" w:sz="8" w:space="0" w:color="00755C"/>
        <w:bottom w:val="single" w:sz="8" w:space="0" w:color="00755C"/>
        <w:right w:val="single" w:sz="8" w:space="0" w:color="00755C"/>
        <w:insideH w:val="none" w:sz="0" w:space="0" w:color="auto"/>
        <w:insideV w:val="none" w:sz="0" w:space="0" w:color="auto"/>
      </w:tblBorders>
      <w:tblCellMar>
        <w:left w:w="0" w:type="dxa"/>
        <w:right w:w="0" w:type="dxa"/>
      </w:tblCellMar>
      <w:tblLook w:val="01E0"/>
    </w:tblPr>
    <w:tblGrid>
      <w:gridCol w:w="9696"/>
    </w:tblGrid>
    <w:tr w:rsidR="00CE5BA0">
      <w:tc>
        <w:tcPr>
          <w:tcW w:w="9696" w:type="dxa"/>
          <w:tcBorders>
            <w:top w:val="single" w:sz="4" w:space="0" w:color="00755C"/>
            <w:left w:val="nil"/>
            <w:bottom w:val="nil"/>
            <w:right w:val="nil"/>
          </w:tcBorders>
        </w:tcPr>
        <w:p w:rsidR="00CE5BA0" w:rsidRDefault="00CE5BA0" w:rsidP="000C35B5">
          <w:pPr>
            <w:pStyle w:val="Footer"/>
            <w:pBdr>
              <w:top w:val="single" w:sz="8" w:space="1" w:color="00755C"/>
            </w:pBdr>
          </w:pPr>
        </w:p>
        <w:p w:rsidR="00CE5BA0" w:rsidRPr="006030DC" w:rsidRDefault="00CE5BA0" w:rsidP="000C35B5">
          <w:pPr>
            <w:pStyle w:val="FooterCompanyName"/>
          </w:pPr>
          <w:bookmarkStart w:id="0" w:name="company"/>
          <w:r>
            <w:t>Golder Associates Pty Ltd</w:t>
          </w:r>
          <w:bookmarkEnd w:id="0"/>
          <w:r>
            <w:t xml:space="preserve"> </w:t>
          </w:r>
        </w:p>
        <w:p w:rsidR="00CE5BA0" w:rsidRPr="006030DC" w:rsidRDefault="00CE5BA0" w:rsidP="000C35B5">
          <w:pPr>
            <w:pStyle w:val="Footer"/>
          </w:pPr>
          <w:bookmarkStart w:id="1" w:name="address"/>
          <w:r>
            <w:t>611 Coronation Drive,  Toowong,  Queensland 4066,  Australia (PO Box 1734, Milton BC, QLD 4064)</w:t>
          </w:r>
          <w:bookmarkEnd w:id="1"/>
          <w:r>
            <w:t xml:space="preserve"> </w:t>
          </w:r>
        </w:p>
        <w:p w:rsidR="00CE5BA0" w:rsidRPr="006030DC" w:rsidRDefault="00CE5BA0" w:rsidP="000C35B5">
          <w:pPr>
            <w:pStyle w:val="Footer"/>
          </w:pPr>
          <w:r w:rsidRPr="006030DC">
            <w:t>Tel:</w:t>
          </w:r>
          <w:r>
            <w:t xml:space="preserve"> </w:t>
          </w:r>
          <w:bookmarkStart w:id="2" w:name="phone"/>
          <w:r>
            <w:t>+61 7 3721 5400</w:t>
          </w:r>
          <w:bookmarkEnd w:id="2"/>
          <w:r>
            <w:t xml:space="preserve">  Fax: </w:t>
          </w:r>
          <w:bookmarkStart w:id="3" w:name="fax"/>
          <w:r>
            <w:t>+61 7 3721 5401</w:t>
          </w:r>
          <w:bookmarkEnd w:id="3"/>
          <w:r>
            <w:t xml:space="preserve">  ww</w:t>
          </w:r>
          <w:r w:rsidRPr="006030DC">
            <w:t>w.golder.com</w:t>
          </w:r>
        </w:p>
        <w:p w:rsidR="00CE5BA0" w:rsidRPr="007865A2" w:rsidRDefault="00CE5BA0" w:rsidP="000C35B5">
          <w:pPr>
            <w:pStyle w:val="GreenFooter"/>
          </w:pPr>
          <w:bookmarkStart w:id="4" w:name="Recycle"/>
          <w:bookmarkEnd w:id="4"/>
          <w:r>
            <w:rPr>
              <w:noProof/>
              <w:lang w:eastAsia="en-AU"/>
            </w:rPr>
            <w:drawing>
              <wp:anchor distT="0" distB="0" distL="114300" distR="114300" simplePos="0" relativeHeight="251659264" behindDoc="0" locked="1" layoutInCell="0" allowOverlap="0">
                <wp:simplePos x="0" y="0"/>
                <wp:positionH relativeFrom="column">
                  <wp:posOffset>5842000</wp:posOffset>
                </wp:positionH>
                <wp:positionV relativeFrom="page">
                  <wp:posOffset>9930765</wp:posOffset>
                </wp:positionV>
                <wp:extent cx="269240" cy="269240"/>
                <wp:effectExtent l="19050" t="0" r="0" b="0"/>
                <wp:wrapNone/>
                <wp:docPr id="3" name="Recycle" descr="Golder Recycle_30%Tint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ycle" descr="Golder Recycle_30%TintCMYK"/>
                        <pic:cNvPicPr>
                          <a:picLocks noChangeAspect="1" noChangeArrowheads="1"/>
                        </pic:cNvPicPr>
                      </pic:nvPicPr>
                      <pic:blipFill>
                        <a:blip r:embed="rId1"/>
                        <a:srcRect/>
                        <a:stretch>
                          <a:fillRect/>
                        </a:stretch>
                      </pic:blipFill>
                      <pic:spPr bwMode="auto">
                        <a:xfrm>
                          <a:off x="0" y="0"/>
                          <a:ext cx="269240" cy="269240"/>
                        </a:xfrm>
                        <a:prstGeom prst="rect">
                          <a:avLst/>
                        </a:prstGeom>
                        <a:noFill/>
                        <a:ln w="9525">
                          <a:noFill/>
                          <a:miter lim="800000"/>
                          <a:headEnd/>
                          <a:tailEnd/>
                        </a:ln>
                      </pic:spPr>
                    </pic:pic>
                  </a:graphicData>
                </a:graphic>
              </wp:anchor>
            </w:drawing>
          </w:r>
          <w:r w:rsidRPr="007865A2">
            <w:t xml:space="preserve">Golder Associates: Operations in </w:t>
          </w:r>
          <w:smartTag w:uri="urn:schemas-microsoft-com:office:smarttags" w:element="place">
            <w:r w:rsidRPr="007865A2">
              <w:t>Africa</w:t>
            </w:r>
          </w:smartTag>
          <w:r w:rsidRPr="007865A2">
            <w:t xml:space="preserve">, </w:t>
          </w:r>
          <w:smartTag w:uri="urn:schemas-microsoft-com:office:smarttags" w:element="place">
            <w:r w:rsidRPr="007865A2">
              <w:t>Asia</w:t>
            </w:r>
          </w:smartTag>
          <w:r w:rsidRPr="007865A2">
            <w:t xml:space="preserve">, </w:t>
          </w:r>
          <w:smartTag w:uri="urn:schemas-microsoft-com:office:smarttags" w:element="place">
            <w:r w:rsidRPr="007865A2">
              <w:t>Australasia</w:t>
            </w:r>
          </w:smartTag>
          <w:r w:rsidRPr="007865A2">
            <w:t xml:space="preserve">, </w:t>
          </w:r>
          <w:smartTag w:uri="urn:schemas-microsoft-com:office:smarttags" w:element="place">
            <w:r w:rsidRPr="007865A2">
              <w:t>Europe</w:t>
            </w:r>
          </w:smartTag>
          <w:r w:rsidRPr="007865A2">
            <w:t xml:space="preserve">, </w:t>
          </w:r>
          <w:smartTag w:uri="urn:schemas-microsoft-com:office:smarttags" w:element="place">
            <w:r w:rsidRPr="007865A2">
              <w:t>North America</w:t>
            </w:r>
          </w:smartTag>
          <w:r w:rsidRPr="007865A2">
            <w:t xml:space="preserve"> and </w:t>
          </w:r>
          <w:smartTag w:uri="urn:schemas-microsoft-com:office:smarttags" w:element="place">
            <w:r w:rsidRPr="007865A2">
              <w:t>South America</w:t>
            </w:r>
          </w:smartTag>
        </w:p>
        <w:p w:rsidR="00CE5BA0" w:rsidRDefault="00CE5BA0" w:rsidP="000C35B5">
          <w:pPr>
            <w:pStyle w:val="Footer"/>
          </w:pPr>
          <w:bookmarkStart w:id="5" w:name="Legal1"/>
          <w:r>
            <w:t>A.B.N. 64 006 107 857</w:t>
          </w:r>
          <w:bookmarkEnd w:id="5"/>
          <w:r>
            <w:t xml:space="preserve">   </w:t>
          </w:r>
          <w:bookmarkStart w:id="6" w:name="Legal2"/>
          <w:bookmarkEnd w:id="6"/>
          <w:r>
            <w:t xml:space="preserve"> </w:t>
          </w:r>
        </w:p>
        <w:p w:rsidR="00CE5BA0" w:rsidRDefault="00CE5BA0" w:rsidP="000C35B5">
          <w:pPr>
            <w:pStyle w:val="Footer"/>
          </w:pPr>
          <w:bookmarkStart w:id="7" w:name="Legal3"/>
          <w:bookmarkEnd w:id="7"/>
          <w:r>
            <w:t xml:space="preserve">   </w:t>
          </w:r>
          <w:bookmarkStart w:id="8" w:name="Legal4"/>
          <w:r>
            <w:t>Golder, Golder Associates and the GA globe design are trademarks of Golder Associates Corporation.</w:t>
          </w:r>
          <w:bookmarkEnd w:id="8"/>
          <w:r>
            <w:t xml:space="preserve"> </w:t>
          </w:r>
        </w:p>
        <w:p w:rsidR="00CE5BA0" w:rsidRDefault="00CE5BA0" w:rsidP="000C35B5">
          <w:pPr>
            <w:pStyle w:val="Footer"/>
          </w:pPr>
        </w:p>
      </w:tc>
    </w:tr>
  </w:tbl>
  <w:p w:rsidR="00CE5BA0" w:rsidRPr="001A792E" w:rsidRDefault="00CE5BA0" w:rsidP="001A792E">
    <w:pPr>
      <w:pStyle w:val="AwardsFooter"/>
    </w:pPr>
    <w:bookmarkStart w:id="9" w:name="footer"/>
    <w:bookmarkEnd w:id="9"/>
    <w:r w:rsidRPr="0072389E">
      <w:rPr>
        <w:noProof/>
        <w:lang w:eastAsia="en-AU"/>
      </w:rPr>
      <w:drawing>
        <wp:anchor distT="0" distB="0" distL="114300" distR="114300" simplePos="0" relativeHeight="251661312" behindDoc="0" locked="0" layoutInCell="1" allowOverlap="1">
          <wp:simplePos x="0" y="0"/>
          <wp:positionH relativeFrom="column">
            <wp:posOffset>-5080</wp:posOffset>
          </wp:positionH>
          <wp:positionV relativeFrom="paragraph">
            <wp:posOffset>601345</wp:posOffset>
          </wp:positionV>
          <wp:extent cx="454660" cy="647700"/>
          <wp:effectExtent l="19050" t="0" r="2540" b="0"/>
          <wp:wrapNone/>
          <wp:docPr id="4" name="Picture 0" descr="BRW Awards Logo 2011 Ma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W Awards Logo 2011 Mar11.jpg"/>
                  <pic:cNvPicPr/>
                </pic:nvPicPr>
                <pic:blipFill>
                  <a:blip r:embed="rId2" cstate="print"/>
                  <a:stretch>
                    <a:fillRect/>
                  </a:stretch>
                </pic:blipFill>
                <pic:spPr>
                  <a:xfrm>
                    <a:off x="0" y="0"/>
                    <a:ext cx="454660" cy="647700"/>
                  </a:xfrm>
                  <a:prstGeom prst="rect">
                    <a:avLst/>
                  </a:prstGeom>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E5BA0" w:rsidRDefault="00CE5BA0">
      <w:r>
        <w:separator/>
      </w:r>
    </w:p>
  </w:footnote>
  <w:footnote w:type="continuationSeparator" w:id="0">
    <w:p w:rsidR="00CE5BA0" w:rsidRDefault="00CE5BA0">
      <w:r>
        <w:continuationSeparator/>
      </w:r>
    </w:p>
  </w:footnote>
  <w:footnote w:id="1">
    <w:p w:rsidR="00CE5BA0" w:rsidRPr="00E305BB" w:rsidRDefault="00CE5BA0" w:rsidP="00A00BE1">
      <w:pPr>
        <w:pStyle w:val="FootnoteText"/>
        <w:rPr>
          <w:lang w:val="en-US"/>
        </w:rPr>
      </w:pPr>
      <w:r>
        <w:rPr>
          <w:rStyle w:val="FootnoteReference"/>
        </w:rPr>
        <w:footnoteRef/>
      </w:r>
      <w:r>
        <w:t xml:space="preserve"> Australian Code for Reporting of Exploration Results, Mineral Resources and Ore Resources, </w:t>
      </w:r>
      <w:proofErr w:type="gramStart"/>
      <w:r>
        <w:t>The</w:t>
      </w:r>
      <w:proofErr w:type="gramEnd"/>
      <w:r>
        <w:t xml:space="preserve"> JORC Code, 2004 Edition (JORC) Guidelines.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5BA0" w:rsidRDefault="00CE5BA0">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0" w:type="auto"/>
      <w:tblBorders>
        <w:top w:val="none" w:sz="0" w:space="0" w:color="auto"/>
        <w:left w:val="none" w:sz="0" w:space="0" w:color="auto"/>
        <w:bottom w:val="single" w:sz="8" w:space="0" w:color="00755C"/>
        <w:right w:val="none" w:sz="0" w:space="0" w:color="auto"/>
        <w:insideH w:val="none" w:sz="0" w:space="0" w:color="auto"/>
        <w:insideV w:val="none" w:sz="0" w:space="0" w:color="auto"/>
      </w:tblBorders>
      <w:tblCellMar>
        <w:left w:w="0" w:type="dxa"/>
        <w:right w:w="0" w:type="dxa"/>
      </w:tblCellMar>
      <w:tblLook w:val="01E0"/>
    </w:tblPr>
    <w:tblGrid>
      <w:gridCol w:w="4818"/>
      <w:gridCol w:w="4819"/>
    </w:tblGrid>
    <w:tr w:rsidR="00CE5BA0" w:rsidRPr="00CE5BA0">
      <w:trPr>
        <w:trHeight w:val="227"/>
      </w:trPr>
      <w:tc>
        <w:tcPr>
          <w:tcW w:w="4818" w:type="dxa"/>
          <w:tcBorders>
            <w:bottom w:val="nil"/>
          </w:tcBorders>
          <w:tcMar>
            <w:left w:w="0" w:type="dxa"/>
            <w:right w:w="0" w:type="dxa"/>
          </w:tcMar>
        </w:tcPr>
        <w:p w:rsidR="00CE5BA0" w:rsidRPr="00CE5BA0" w:rsidRDefault="00CE5BA0" w:rsidP="0072332F">
          <w:pPr>
            <w:pStyle w:val="Header"/>
            <w:rPr>
              <w:sz w:val="16"/>
              <w:szCs w:val="16"/>
            </w:rPr>
          </w:pPr>
          <w:r w:rsidRPr="00CE5BA0">
            <w:rPr>
              <w:sz w:val="16"/>
              <w:szCs w:val="16"/>
            </w:rPr>
            <w:fldChar w:fldCharType="begin"/>
          </w:r>
          <w:r w:rsidRPr="00CE5BA0">
            <w:rPr>
              <w:sz w:val="16"/>
              <w:szCs w:val="16"/>
            </w:rPr>
            <w:instrText xml:space="preserve"> DOCPROPERTY  Memo_to  \* MERGEFORMAT </w:instrText>
          </w:r>
          <w:r w:rsidRPr="00CE5BA0">
            <w:rPr>
              <w:sz w:val="16"/>
              <w:szCs w:val="16"/>
            </w:rPr>
            <w:fldChar w:fldCharType="separate"/>
          </w:r>
          <w:proofErr w:type="spellStart"/>
          <w:r w:rsidR="00B5174B">
            <w:rPr>
              <w:sz w:val="16"/>
              <w:szCs w:val="16"/>
            </w:rPr>
            <w:t>Hari</w:t>
          </w:r>
          <w:proofErr w:type="spellEnd"/>
          <w:r w:rsidR="00B5174B">
            <w:rPr>
              <w:sz w:val="16"/>
              <w:szCs w:val="16"/>
            </w:rPr>
            <w:t xml:space="preserve"> </w:t>
          </w:r>
          <w:proofErr w:type="spellStart"/>
          <w:r w:rsidR="00B5174B">
            <w:rPr>
              <w:sz w:val="16"/>
              <w:szCs w:val="16"/>
            </w:rPr>
            <w:t>Kiran</w:t>
          </w:r>
          <w:proofErr w:type="spellEnd"/>
          <w:r w:rsidR="00B5174B">
            <w:rPr>
              <w:sz w:val="16"/>
              <w:szCs w:val="16"/>
            </w:rPr>
            <w:t xml:space="preserve"> </w:t>
          </w:r>
          <w:proofErr w:type="spellStart"/>
          <w:r w:rsidR="00B5174B">
            <w:rPr>
              <w:sz w:val="16"/>
              <w:szCs w:val="16"/>
            </w:rPr>
            <w:t>Vadlamani</w:t>
          </w:r>
          <w:proofErr w:type="spellEnd"/>
          <w:r w:rsidR="00B5174B">
            <w:rPr>
              <w:sz w:val="16"/>
              <w:szCs w:val="16"/>
            </w:rPr>
            <w:t xml:space="preserve"> </w:t>
          </w:r>
          <w:r w:rsidRPr="00CE5BA0">
            <w:rPr>
              <w:sz w:val="16"/>
              <w:szCs w:val="16"/>
            </w:rPr>
            <w:fldChar w:fldCharType="end"/>
          </w:r>
        </w:p>
      </w:tc>
      <w:tc>
        <w:tcPr>
          <w:tcW w:w="4819" w:type="dxa"/>
          <w:tcBorders>
            <w:bottom w:val="nil"/>
          </w:tcBorders>
        </w:tcPr>
        <w:p w:rsidR="00CE5BA0" w:rsidRPr="00CE5BA0" w:rsidRDefault="00CE5BA0" w:rsidP="0072332F">
          <w:pPr>
            <w:pStyle w:val="Header"/>
            <w:jc w:val="right"/>
            <w:rPr>
              <w:sz w:val="16"/>
              <w:szCs w:val="16"/>
            </w:rPr>
          </w:pPr>
          <w:r w:rsidRPr="00CE5BA0">
            <w:rPr>
              <w:sz w:val="16"/>
              <w:szCs w:val="16"/>
            </w:rPr>
            <w:fldChar w:fldCharType="begin"/>
          </w:r>
          <w:r w:rsidRPr="00CE5BA0">
            <w:rPr>
              <w:sz w:val="16"/>
              <w:szCs w:val="16"/>
            </w:rPr>
            <w:instrText xml:space="preserve"> DOCPROPERTY  Project  \* MERGEFORMAT </w:instrText>
          </w:r>
          <w:r w:rsidRPr="00CE5BA0">
            <w:rPr>
              <w:sz w:val="16"/>
              <w:szCs w:val="16"/>
            </w:rPr>
            <w:fldChar w:fldCharType="separate"/>
          </w:r>
          <w:r w:rsidR="00B5174B">
            <w:rPr>
              <w:sz w:val="16"/>
              <w:szCs w:val="16"/>
            </w:rPr>
            <w:t xml:space="preserve">127613050 002 TM </w:t>
          </w:r>
          <w:proofErr w:type="spellStart"/>
          <w:r w:rsidR="00B5174B">
            <w:rPr>
              <w:sz w:val="16"/>
              <w:szCs w:val="16"/>
            </w:rPr>
            <w:t>RevA</w:t>
          </w:r>
          <w:proofErr w:type="spellEnd"/>
          <w:r w:rsidRPr="00CE5BA0">
            <w:rPr>
              <w:sz w:val="16"/>
              <w:szCs w:val="16"/>
            </w:rPr>
            <w:fldChar w:fldCharType="end"/>
          </w:r>
        </w:p>
      </w:tc>
    </w:tr>
    <w:tr w:rsidR="00CE5BA0" w:rsidRPr="00CE5BA0">
      <w:trPr>
        <w:trHeight w:val="227"/>
      </w:trPr>
      <w:tc>
        <w:tcPr>
          <w:tcW w:w="4818" w:type="dxa"/>
          <w:tcBorders>
            <w:bottom w:val="single" w:sz="8" w:space="0" w:color="00755C"/>
          </w:tcBorders>
          <w:tcMar>
            <w:left w:w="0" w:type="dxa"/>
            <w:right w:w="0" w:type="dxa"/>
          </w:tcMar>
        </w:tcPr>
        <w:p w:rsidR="00CE5BA0" w:rsidRPr="00CE5BA0" w:rsidRDefault="00CE5BA0" w:rsidP="0072332F">
          <w:pPr>
            <w:pStyle w:val="Header"/>
            <w:rPr>
              <w:sz w:val="16"/>
              <w:szCs w:val="16"/>
            </w:rPr>
          </w:pPr>
          <w:r w:rsidRPr="00CE5BA0">
            <w:rPr>
              <w:sz w:val="16"/>
              <w:szCs w:val="16"/>
            </w:rPr>
            <w:fldChar w:fldCharType="begin"/>
          </w:r>
          <w:r w:rsidRPr="00CE5BA0">
            <w:rPr>
              <w:sz w:val="16"/>
              <w:szCs w:val="16"/>
            </w:rPr>
            <w:instrText xml:space="preserve"> DOCPROPERTY  "Recipient Company"  \* MERGEFORMAT </w:instrText>
          </w:r>
          <w:r w:rsidRPr="00CE5BA0">
            <w:rPr>
              <w:sz w:val="16"/>
              <w:szCs w:val="16"/>
            </w:rPr>
            <w:fldChar w:fldCharType="separate"/>
          </w:r>
          <w:proofErr w:type="spellStart"/>
          <w:r w:rsidR="00B5174B">
            <w:rPr>
              <w:sz w:val="16"/>
              <w:szCs w:val="16"/>
            </w:rPr>
            <w:t>Indicoal</w:t>
          </w:r>
          <w:proofErr w:type="spellEnd"/>
          <w:r w:rsidR="00B5174B">
            <w:rPr>
              <w:sz w:val="16"/>
              <w:szCs w:val="16"/>
            </w:rPr>
            <w:t xml:space="preserve"> Mining Australia Pty Ltd</w:t>
          </w:r>
          <w:r w:rsidRPr="00CE5BA0">
            <w:rPr>
              <w:sz w:val="16"/>
              <w:szCs w:val="16"/>
            </w:rPr>
            <w:fldChar w:fldCharType="end"/>
          </w:r>
        </w:p>
      </w:tc>
      <w:tc>
        <w:tcPr>
          <w:tcW w:w="4819" w:type="dxa"/>
          <w:tcBorders>
            <w:bottom w:val="single" w:sz="8" w:space="0" w:color="00755C"/>
          </w:tcBorders>
        </w:tcPr>
        <w:p w:rsidR="00CE5BA0" w:rsidRPr="00CE5BA0" w:rsidRDefault="00CE5BA0" w:rsidP="0072332F">
          <w:pPr>
            <w:pStyle w:val="Header"/>
            <w:jc w:val="right"/>
            <w:rPr>
              <w:sz w:val="16"/>
              <w:szCs w:val="16"/>
            </w:rPr>
          </w:pPr>
          <w:fldSimple w:instr=" DOCPROPERTY  date  \* MERGEFORMAT ">
            <w:r w:rsidR="00B5174B">
              <w:rPr>
                <w:sz w:val="16"/>
                <w:szCs w:val="16"/>
              </w:rPr>
              <w:t>12 July 2012</w:t>
            </w:r>
          </w:fldSimple>
        </w:p>
      </w:tc>
    </w:tr>
  </w:tbl>
  <w:p w:rsidR="00CE5BA0" w:rsidRPr="00CE5BA0" w:rsidRDefault="00CE5BA0" w:rsidP="00CD21B5">
    <w:pPr>
      <w:pStyle w:val="Footer"/>
      <w:rPr>
        <w:sz w:val="16"/>
        <w:szCs w:val="16"/>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0" w:type="auto"/>
      <w:tblBorders>
        <w:top w:val="none" w:sz="0" w:space="0" w:color="auto"/>
        <w:left w:val="none" w:sz="0" w:space="0" w:color="auto"/>
        <w:bottom w:val="single" w:sz="8" w:space="0" w:color="00755C"/>
        <w:right w:val="none" w:sz="0" w:space="0" w:color="auto"/>
        <w:insideH w:val="none" w:sz="0" w:space="0" w:color="auto"/>
        <w:insideV w:val="none" w:sz="0" w:space="0" w:color="auto"/>
      </w:tblBorders>
      <w:tblLook w:val="01E0"/>
    </w:tblPr>
    <w:tblGrid>
      <w:gridCol w:w="3686"/>
      <w:gridCol w:w="5951"/>
    </w:tblGrid>
    <w:tr w:rsidR="00CE5BA0" w:rsidRPr="008258A4" w:rsidTr="005D57FB">
      <w:trPr>
        <w:trHeight w:val="1144"/>
      </w:trPr>
      <w:tc>
        <w:tcPr>
          <w:tcW w:w="3686" w:type="dxa"/>
          <w:tcBorders>
            <w:bottom w:val="nil"/>
          </w:tcBorders>
          <w:tcMar>
            <w:left w:w="0" w:type="dxa"/>
            <w:right w:w="0" w:type="dxa"/>
          </w:tcMar>
          <w:vAlign w:val="bottom"/>
        </w:tcPr>
        <w:p w:rsidR="00CE5BA0" w:rsidRDefault="00CE5BA0" w:rsidP="007A1982">
          <w:pPr>
            <w:pStyle w:val="Header"/>
          </w:pPr>
          <w:r>
            <w:rPr>
              <w:noProof/>
              <w:lang w:eastAsia="en-AU"/>
            </w:rPr>
            <w:drawing>
              <wp:inline distT="0" distB="0" distL="0" distR="0">
                <wp:extent cx="1906270" cy="734060"/>
                <wp:effectExtent l="19050" t="0" r="0" b="0"/>
                <wp:docPr id="5" name="Picture 2"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 Logo Small_RGB from Phil"/>
                        <pic:cNvPicPr>
                          <a:picLocks noChangeAspect="1" noChangeArrowheads="1"/>
                        </pic:cNvPicPr>
                      </pic:nvPicPr>
                      <pic:blipFill>
                        <a:blip r:embed="rId1"/>
                        <a:srcRect/>
                        <a:stretch>
                          <a:fillRect/>
                        </a:stretch>
                      </pic:blipFill>
                      <pic:spPr bwMode="auto">
                        <a:xfrm>
                          <a:off x="0" y="0"/>
                          <a:ext cx="1906270" cy="734060"/>
                        </a:xfrm>
                        <a:prstGeom prst="rect">
                          <a:avLst/>
                        </a:prstGeom>
                        <a:noFill/>
                        <a:ln w="9525">
                          <a:noFill/>
                          <a:miter lim="800000"/>
                          <a:headEnd/>
                          <a:tailEnd/>
                        </a:ln>
                      </pic:spPr>
                    </pic:pic>
                  </a:graphicData>
                </a:graphic>
              </wp:inline>
            </w:drawing>
          </w:r>
        </w:p>
      </w:tc>
      <w:tc>
        <w:tcPr>
          <w:tcW w:w="5951" w:type="dxa"/>
          <w:tcBorders>
            <w:bottom w:val="nil"/>
          </w:tcBorders>
          <w:tcMar>
            <w:right w:w="0" w:type="dxa"/>
          </w:tcMar>
          <w:vAlign w:val="bottom"/>
        </w:tcPr>
        <w:p w:rsidR="00CE5BA0" w:rsidRPr="008258A4" w:rsidRDefault="00CE5BA0" w:rsidP="008258A4">
          <w:pPr>
            <w:pStyle w:val="TMDetailsTable"/>
            <w:rPr>
              <w:b w:val="0"/>
            </w:r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179.15pt;height:10.9pt;mso-position-horizontal:absolute;mso-position-horizontal-relative:text;mso-position-vertical:absolute;mso-position-vertical-relative:text;mso-width-relative:page;mso-height-relative:page" fillcolor="black [3213]">
                <v:shadow color="#868686"/>
                <v:textpath style="font-family:&quot;Arial&quot;;font-size:14pt;v-text-kern:t" trim="t" fitpath="t" string="TECHNICAL MEMORANDUM"/>
              </v:shape>
            </w:pict>
          </w:r>
        </w:p>
      </w:tc>
    </w:tr>
    <w:tr w:rsidR="00CE5BA0" w:rsidRPr="007A1982" w:rsidTr="00150B0F">
      <w:trPr>
        <w:trHeight w:hRule="exact" w:val="113"/>
      </w:trPr>
      <w:tc>
        <w:tcPr>
          <w:tcW w:w="3686" w:type="dxa"/>
          <w:tcBorders>
            <w:top w:val="nil"/>
          </w:tcBorders>
          <w:tcMar>
            <w:left w:w="0" w:type="dxa"/>
            <w:right w:w="0" w:type="dxa"/>
          </w:tcMar>
        </w:tcPr>
        <w:p w:rsidR="00CE5BA0" w:rsidRPr="007A1982" w:rsidRDefault="00CE5BA0" w:rsidP="007A1982">
          <w:pPr>
            <w:pStyle w:val="Header"/>
            <w:rPr>
              <w:sz w:val="16"/>
              <w:szCs w:val="16"/>
            </w:rPr>
          </w:pPr>
        </w:p>
      </w:tc>
      <w:tc>
        <w:tcPr>
          <w:tcW w:w="5951" w:type="dxa"/>
          <w:tcBorders>
            <w:top w:val="nil"/>
          </w:tcBorders>
          <w:tcMar>
            <w:right w:w="0" w:type="dxa"/>
          </w:tcMar>
          <w:vAlign w:val="bottom"/>
        </w:tcPr>
        <w:p w:rsidR="00CE5BA0" w:rsidRPr="007A1982" w:rsidRDefault="00CE5BA0" w:rsidP="007A1982">
          <w:pPr>
            <w:pStyle w:val="TechMemoHeading"/>
            <w:spacing w:line="240" w:lineRule="auto"/>
            <w:jc w:val="left"/>
            <w:rPr>
              <w:sz w:val="16"/>
              <w:szCs w:val="16"/>
            </w:rPr>
          </w:pPr>
        </w:p>
      </w:tc>
    </w:tr>
  </w:tbl>
  <w:p w:rsidR="00CE5BA0" w:rsidRDefault="00CE5BA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0D24D5"/>
    <w:multiLevelType w:val="multilevel"/>
    <w:tmpl w:val="90BC1618"/>
    <w:lvl w:ilvl="0">
      <w:start w:val="1"/>
      <w:numFmt w:val="decimal"/>
      <w:pStyle w:val="GANumberedHeading1"/>
      <w:lvlText w:val="%1.0"/>
      <w:lvlJc w:val="left"/>
      <w:pPr>
        <w:tabs>
          <w:tab w:val="num" w:pos="794"/>
        </w:tabs>
        <w:ind w:left="794" w:hanging="794"/>
      </w:pPr>
      <w:rPr>
        <w:rFonts w:ascii="Arial" w:hAnsi="Arial" w:hint="default"/>
        <w:b/>
        <w:i w:val="0"/>
        <w:sz w:val="24"/>
        <w:szCs w:val="24"/>
      </w:rPr>
    </w:lvl>
    <w:lvl w:ilvl="1">
      <w:start w:val="1"/>
      <w:numFmt w:val="decimal"/>
      <w:pStyle w:val="GANumberedHeading2"/>
      <w:lvlText w:val="%1.%2"/>
      <w:lvlJc w:val="left"/>
      <w:pPr>
        <w:tabs>
          <w:tab w:val="num" w:pos="907"/>
        </w:tabs>
        <w:ind w:left="907" w:hanging="907"/>
      </w:pPr>
      <w:rPr>
        <w:rFonts w:ascii="Arial" w:hAnsi="Arial" w:hint="default"/>
        <w:b/>
        <w:i w:val="0"/>
        <w:caps w:val="0"/>
        <w:strike w:val="0"/>
        <w:dstrike w:val="0"/>
        <w:outline w:val="0"/>
        <w:shadow w:val="0"/>
        <w:emboss w:val="0"/>
        <w:imprint w:val="0"/>
        <w:vanish w:val="0"/>
        <w:sz w:val="24"/>
        <w:szCs w:val="24"/>
        <w:vertAlign w:val="baseline"/>
      </w:rPr>
    </w:lvl>
    <w:lvl w:ilvl="2">
      <w:start w:val="1"/>
      <w:numFmt w:val="decimal"/>
      <w:pStyle w:val="GANumberedHeading3"/>
      <w:lvlText w:val="%1.%2.%3"/>
      <w:lvlJc w:val="left"/>
      <w:pPr>
        <w:tabs>
          <w:tab w:val="num" w:pos="1021"/>
        </w:tabs>
        <w:ind w:left="1021" w:hanging="1021"/>
      </w:pPr>
      <w:rPr>
        <w:rFonts w:ascii="Arial" w:hAnsi="Arial" w:hint="default"/>
        <w:b/>
        <w:i w:val="0"/>
        <w:caps w:val="0"/>
        <w:strike w:val="0"/>
        <w:dstrike w:val="0"/>
        <w:outline w:val="0"/>
        <w:shadow w:val="0"/>
        <w:emboss w:val="0"/>
        <w:imprint w:val="0"/>
        <w:vanish w:val="0"/>
        <w:sz w:val="22"/>
        <w:szCs w:val="22"/>
        <w:vertAlign w:val="baseline"/>
      </w:rPr>
    </w:lvl>
    <w:lvl w:ilvl="3">
      <w:start w:val="1"/>
      <w:numFmt w:val="decimal"/>
      <w:pStyle w:val="GANumberedHeading4"/>
      <w:lvlText w:val="%1.%2.%3.%4"/>
      <w:lvlJc w:val="left"/>
      <w:pPr>
        <w:tabs>
          <w:tab w:val="num" w:pos="1247"/>
        </w:tabs>
        <w:ind w:left="1247" w:hanging="1247"/>
      </w:pPr>
      <w:rPr>
        <w:rFonts w:ascii="Arial" w:hAnsi="Arial" w:hint="default"/>
        <w:b/>
        <w:i/>
        <w:caps w:val="0"/>
        <w:strike w:val="0"/>
        <w:dstrike w:val="0"/>
        <w:outline w:val="0"/>
        <w:shadow w:val="0"/>
        <w:emboss w:val="0"/>
        <w:imprint w:val="0"/>
        <w:vanish w:val="0"/>
        <w:sz w:val="22"/>
        <w:szCs w:val="22"/>
        <w:vertAlign w:val="baseline"/>
      </w:rPr>
    </w:lvl>
    <w:lvl w:ilvl="4">
      <w:start w:val="1"/>
      <w:numFmt w:val="decimal"/>
      <w:pStyle w:val="GANumberedHeading5"/>
      <w:lvlText w:val="%1.%2.%3.%4.%5"/>
      <w:lvlJc w:val="left"/>
      <w:pPr>
        <w:tabs>
          <w:tab w:val="num" w:pos="1418"/>
        </w:tabs>
        <w:ind w:left="1418" w:hanging="1418"/>
      </w:pPr>
      <w:rPr>
        <w:rFonts w:ascii="Arial" w:hAnsi="Arial" w:hint="default"/>
        <w:b/>
        <w:i w:val="0"/>
        <w:caps w:val="0"/>
        <w:strike w:val="0"/>
        <w:dstrike w:val="0"/>
        <w:outline w:val="0"/>
        <w:shadow w:val="0"/>
        <w:emboss w:val="0"/>
        <w:imprint w:val="0"/>
        <w:vanish w:val="0"/>
        <w:sz w:val="22"/>
        <w:szCs w:val="22"/>
        <w:vertAlign w:val="baseline"/>
      </w:rPr>
    </w:lvl>
    <w:lvl w:ilvl="5">
      <w:start w:val="1"/>
      <w:numFmt w:val="decimal"/>
      <w:pStyle w:val="GANumberedHeading6"/>
      <w:lvlText w:val="%1.%2.%3.%4.%5.%6"/>
      <w:lvlJc w:val="left"/>
      <w:pPr>
        <w:tabs>
          <w:tab w:val="num" w:pos="1588"/>
        </w:tabs>
        <w:ind w:left="1588" w:hanging="1588"/>
      </w:pPr>
      <w:rPr>
        <w:rFonts w:ascii="Arial" w:hAnsi="Arial" w:hint="default"/>
        <w:b/>
        <w:i/>
        <w:caps w:val="0"/>
        <w:strike w:val="0"/>
        <w:dstrike w:val="0"/>
        <w:outline w:val="0"/>
        <w:shadow w:val="0"/>
        <w:emboss w:val="0"/>
        <w:imprint w:val="0"/>
        <w:vanish w:val="0"/>
        <w:sz w:val="22"/>
        <w:szCs w:val="22"/>
        <w:vertAlign w:val="baseline"/>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nsid w:val="1180008B"/>
    <w:multiLevelType w:val="hybridMultilevel"/>
    <w:tmpl w:val="271E144C"/>
    <w:lvl w:ilvl="0" w:tplc="71C638F2">
      <w:start w:val="1"/>
      <w:numFmt w:val="decimal"/>
      <w:pStyle w:val="NumberedList"/>
      <w:lvlText w:val="%1)"/>
      <w:lvlJc w:val="left"/>
      <w:pPr>
        <w:tabs>
          <w:tab w:val="num" w:pos="454"/>
        </w:tabs>
        <w:ind w:left="454" w:hanging="454"/>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nsid w:val="16F43663"/>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F1B7C1D"/>
    <w:multiLevelType w:val="multilevel"/>
    <w:tmpl w:val="5C64C528"/>
    <w:lvl w:ilvl="0">
      <w:start w:val="1"/>
      <w:numFmt w:val="bullet"/>
      <w:pStyle w:val="Bullets"/>
      <w:lvlText w:val=""/>
      <w:lvlJc w:val="left"/>
      <w:pPr>
        <w:tabs>
          <w:tab w:val="num" w:pos="454"/>
        </w:tabs>
        <w:ind w:left="454" w:hanging="454"/>
      </w:pPr>
      <w:rPr>
        <w:rFonts w:ascii="Wingdings 2" w:hAnsi="Wingdings 2" w:hint="default"/>
        <w:color w:val="00755C"/>
        <w:position w:val="-6"/>
        <w:sz w:val="28"/>
        <w:szCs w:val="28"/>
      </w:rPr>
    </w:lvl>
    <w:lvl w:ilvl="1">
      <w:start w:val="1"/>
      <w:numFmt w:val="bullet"/>
      <w:lvlText w:val=""/>
      <w:lvlJc w:val="left"/>
      <w:pPr>
        <w:tabs>
          <w:tab w:val="num" w:pos="794"/>
        </w:tabs>
        <w:ind w:left="794" w:hanging="340"/>
      </w:pPr>
      <w:rPr>
        <w:rFonts w:ascii="Wingdings" w:hAnsi="Wingdings" w:hint="default"/>
        <w:color w:val="00755C"/>
        <w:sz w:val="24"/>
        <w:szCs w:val="24"/>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nsid w:val="2E3F596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30B1405B"/>
    <w:multiLevelType w:val="multilevel"/>
    <w:tmpl w:val="83746010"/>
    <w:lvl w:ilvl="0">
      <w:start w:val="1"/>
      <w:numFmt w:val="lowerLetter"/>
      <w:lvlText w:val="%1)"/>
      <w:lvlJc w:val="left"/>
      <w:pPr>
        <w:tabs>
          <w:tab w:val="num" w:pos="454"/>
        </w:tabs>
        <w:ind w:left="454" w:hanging="45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3C7B0BC8"/>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46EB7166"/>
    <w:multiLevelType w:val="multilevel"/>
    <w:tmpl w:val="EB768B5C"/>
    <w:lvl w:ilvl="0">
      <w:start w:val="1"/>
      <w:numFmt w:val="bullet"/>
      <w:lvlText w:val=""/>
      <w:lvlJc w:val="left"/>
      <w:pPr>
        <w:tabs>
          <w:tab w:val="num" w:pos="454"/>
        </w:tabs>
        <w:ind w:left="454" w:hanging="454"/>
      </w:pPr>
      <w:rPr>
        <w:rFonts w:ascii="Wingdings 2" w:hAnsi="Wingdings 2" w:hint="default"/>
        <w:color w:val="00775B"/>
        <w:position w:val="-6"/>
        <w:sz w:val="40"/>
        <w:szCs w:val="40"/>
      </w:rPr>
    </w:lvl>
    <w:lvl w:ilvl="1">
      <w:start w:val="1"/>
      <w:numFmt w:val="bullet"/>
      <w:lvlText w:val=""/>
      <w:lvlJc w:val="left"/>
      <w:pPr>
        <w:tabs>
          <w:tab w:val="num" w:pos="720"/>
        </w:tabs>
        <w:ind w:left="720" w:hanging="360"/>
      </w:pPr>
      <w:rPr>
        <w:rFonts w:ascii="Wingdings" w:hAnsi="Wingdings" w:hint="default"/>
        <w:sz w:val="24"/>
        <w:szCs w:val="24"/>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
    <w:nsid w:val="4726486A"/>
    <w:multiLevelType w:val="hybridMultilevel"/>
    <w:tmpl w:val="3988A6BC"/>
    <w:lvl w:ilvl="0" w:tplc="7FA448F6">
      <w:start w:val="1"/>
      <w:numFmt w:val="lowerRoman"/>
      <w:pStyle w:val="RomanNumbered"/>
      <w:lvlText w:val="%1)"/>
      <w:lvlJc w:val="left"/>
      <w:pPr>
        <w:tabs>
          <w:tab w:val="num" w:pos="454"/>
        </w:tabs>
        <w:ind w:left="454" w:hanging="454"/>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nsid w:val="5E5656B6"/>
    <w:multiLevelType w:val="hybridMultilevel"/>
    <w:tmpl w:val="BF5235F8"/>
    <w:lvl w:ilvl="0" w:tplc="32EA8C66">
      <w:start w:val="1"/>
      <w:numFmt w:val="lowerLetter"/>
      <w:pStyle w:val="Smallletters"/>
      <w:lvlText w:val="%1)"/>
      <w:lvlJc w:val="left"/>
      <w:pPr>
        <w:tabs>
          <w:tab w:val="num" w:pos="454"/>
        </w:tabs>
        <w:ind w:left="454" w:hanging="454"/>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nsid w:val="66B33B3C"/>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nsid w:val="6AC72A75"/>
    <w:multiLevelType w:val="multilevel"/>
    <w:tmpl w:val="9BEADBBA"/>
    <w:lvl w:ilvl="0">
      <w:start w:val="1"/>
      <w:numFmt w:val="bullet"/>
      <w:lvlText w:val=""/>
      <w:lvlJc w:val="left"/>
      <w:pPr>
        <w:tabs>
          <w:tab w:val="num" w:pos="454"/>
        </w:tabs>
        <w:ind w:left="454" w:hanging="454"/>
      </w:pPr>
      <w:rPr>
        <w:rFonts w:ascii="Wingdings 2" w:hAnsi="Wingdings 2" w:hint="default"/>
        <w:color w:val="008091"/>
        <w:position w:val="-6"/>
        <w:sz w:val="28"/>
        <w:szCs w:val="28"/>
      </w:rPr>
    </w:lvl>
    <w:lvl w:ilvl="1">
      <w:start w:val="1"/>
      <w:numFmt w:val="bullet"/>
      <w:lvlText w:val=""/>
      <w:lvlJc w:val="left"/>
      <w:pPr>
        <w:tabs>
          <w:tab w:val="num" w:pos="794"/>
        </w:tabs>
        <w:ind w:left="794" w:hanging="340"/>
      </w:pPr>
      <w:rPr>
        <w:rFonts w:ascii="Wingdings" w:hAnsi="Wingdings" w:hint="default"/>
        <w:color w:val="008091"/>
        <w:sz w:val="24"/>
        <w:szCs w:val="24"/>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
    <w:nsid w:val="6EAC7E80"/>
    <w:multiLevelType w:val="multilevel"/>
    <w:tmpl w:val="2EAE54B8"/>
    <w:lvl w:ilvl="0">
      <w:start w:val="1"/>
      <w:numFmt w:val="bullet"/>
      <w:lvlText w:val=""/>
      <w:lvlJc w:val="left"/>
      <w:pPr>
        <w:tabs>
          <w:tab w:val="num" w:pos="454"/>
        </w:tabs>
        <w:ind w:left="454" w:hanging="454"/>
      </w:pPr>
      <w:rPr>
        <w:rFonts w:ascii="Wingdings 2" w:hAnsi="Wingdings 2" w:hint="default"/>
        <w:color w:val="00775B"/>
        <w:position w:val="-6"/>
        <w:sz w:val="28"/>
        <w:szCs w:val="28"/>
      </w:rPr>
    </w:lvl>
    <w:lvl w:ilvl="1">
      <w:start w:val="1"/>
      <w:numFmt w:val="bullet"/>
      <w:lvlText w:val=""/>
      <w:lvlJc w:val="left"/>
      <w:pPr>
        <w:tabs>
          <w:tab w:val="num" w:pos="720"/>
        </w:tabs>
        <w:ind w:left="720" w:hanging="360"/>
      </w:pPr>
      <w:rPr>
        <w:rFonts w:ascii="Wingdings" w:hAnsi="Wingdings" w:hint="default"/>
        <w:sz w:val="24"/>
        <w:szCs w:val="24"/>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nsid w:val="76166B67"/>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7C1F1499"/>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3"/>
  </w:num>
  <w:num w:numId="2">
    <w:abstractNumId w:val="8"/>
  </w:num>
  <w:num w:numId="3">
    <w:abstractNumId w:val="9"/>
  </w:num>
  <w:num w:numId="4">
    <w:abstractNumId w:val="1"/>
  </w:num>
  <w:num w:numId="5">
    <w:abstractNumId w:val="7"/>
  </w:num>
  <w:num w:numId="6">
    <w:abstractNumId w:val="12"/>
  </w:num>
  <w:num w:numId="7">
    <w:abstractNumId w:val="3"/>
  </w:num>
  <w:num w:numId="8">
    <w:abstractNumId w:val="1"/>
  </w:num>
  <w:num w:numId="9">
    <w:abstractNumId w:val="9"/>
  </w:num>
  <w:num w:numId="10">
    <w:abstractNumId w:val="8"/>
  </w:num>
  <w:num w:numId="11">
    <w:abstractNumId w:val="11"/>
  </w:num>
  <w:num w:numId="12">
    <w:abstractNumId w:val="5"/>
  </w:num>
  <w:num w:numId="13">
    <w:abstractNumId w:val="6"/>
  </w:num>
  <w:num w:numId="14">
    <w:abstractNumId w:val="0"/>
  </w:num>
  <w:num w:numId="15">
    <w:abstractNumId w:val="0"/>
  </w:num>
  <w:num w:numId="16">
    <w:abstractNumId w:val="0"/>
  </w:num>
  <w:num w:numId="17">
    <w:abstractNumId w:val="0"/>
  </w:num>
  <w:num w:numId="18">
    <w:abstractNumId w:val="0"/>
  </w:num>
  <w:num w:numId="19">
    <w:abstractNumId w:val="0"/>
  </w:num>
  <w:num w:numId="20">
    <w:abstractNumId w:val="14"/>
  </w:num>
  <w:num w:numId="21">
    <w:abstractNumId w:val="4"/>
  </w:num>
  <w:num w:numId="22">
    <w:abstractNumId w:val="2"/>
  </w:num>
  <w:num w:numId="23">
    <w:abstractNumId w:val="10"/>
  </w:num>
  <w:num w:numId="24">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attachedTemplate r:id="rId1"/>
  <w:stylePaneFormatFilter w:val="3F01"/>
  <w:defaultTabStop w:val="720"/>
  <w:noPunctuationKerning/>
  <w:characterSpacingControl w:val="doNotCompress"/>
  <w:hdrShapeDefaults>
    <o:shapedefaults v:ext="edit" spidmax="2050"/>
  </w:hdrShapeDefaults>
  <w:footnotePr>
    <w:footnote w:id="-1"/>
    <w:footnote w:id="0"/>
  </w:footnotePr>
  <w:endnotePr>
    <w:endnote w:id="-1"/>
    <w:endnote w:id="0"/>
  </w:endnotePr>
  <w:compat/>
  <w:rsids>
    <w:rsidRoot w:val="005D57FB"/>
    <w:rsid w:val="00004E84"/>
    <w:rsid w:val="000051F2"/>
    <w:rsid w:val="00007429"/>
    <w:rsid w:val="00010A6A"/>
    <w:rsid w:val="00011B5A"/>
    <w:rsid w:val="00011CBA"/>
    <w:rsid w:val="0002019C"/>
    <w:rsid w:val="00022494"/>
    <w:rsid w:val="00025602"/>
    <w:rsid w:val="00035056"/>
    <w:rsid w:val="00035801"/>
    <w:rsid w:val="000361C3"/>
    <w:rsid w:val="000402CC"/>
    <w:rsid w:val="00040EBF"/>
    <w:rsid w:val="00044A13"/>
    <w:rsid w:val="000459D9"/>
    <w:rsid w:val="0005305A"/>
    <w:rsid w:val="00054C36"/>
    <w:rsid w:val="00066F7D"/>
    <w:rsid w:val="000718BA"/>
    <w:rsid w:val="00073B55"/>
    <w:rsid w:val="000813E8"/>
    <w:rsid w:val="00081A24"/>
    <w:rsid w:val="00085CDC"/>
    <w:rsid w:val="000947A7"/>
    <w:rsid w:val="000A097B"/>
    <w:rsid w:val="000A1818"/>
    <w:rsid w:val="000A493A"/>
    <w:rsid w:val="000A5085"/>
    <w:rsid w:val="000A5855"/>
    <w:rsid w:val="000A65AB"/>
    <w:rsid w:val="000B654C"/>
    <w:rsid w:val="000B68CC"/>
    <w:rsid w:val="000B7EB5"/>
    <w:rsid w:val="000C2CAC"/>
    <w:rsid w:val="000C3396"/>
    <w:rsid w:val="000C35B5"/>
    <w:rsid w:val="000C5608"/>
    <w:rsid w:val="000C6E36"/>
    <w:rsid w:val="000C74C5"/>
    <w:rsid w:val="000D0512"/>
    <w:rsid w:val="000D1241"/>
    <w:rsid w:val="000D1CB2"/>
    <w:rsid w:val="000E5302"/>
    <w:rsid w:val="000E5D16"/>
    <w:rsid w:val="000F06E7"/>
    <w:rsid w:val="000F41FC"/>
    <w:rsid w:val="000F49B7"/>
    <w:rsid w:val="000F4B5E"/>
    <w:rsid w:val="00103C65"/>
    <w:rsid w:val="00104107"/>
    <w:rsid w:val="00111398"/>
    <w:rsid w:val="00112411"/>
    <w:rsid w:val="00113B6B"/>
    <w:rsid w:val="00113F04"/>
    <w:rsid w:val="00114A5B"/>
    <w:rsid w:val="00115B31"/>
    <w:rsid w:val="00120AAD"/>
    <w:rsid w:val="00120D9B"/>
    <w:rsid w:val="00121077"/>
    <w:rsid w:val="00126144"/>
    <w:rsid w:val="0013229D"/>
    <w:rsid w:val="0013463B"/>
    <w:rsid w:val="00134848"/>
    <w:rsid w:val="0013526E"/>
    <w:rsid w:val="001442E3"/>
    <w:rsid w:val="00147A78"/>
    <w:rsid w:val="0015069C"/>
    <w:rsid w:val="00150B0F"/>
    <w:rsid w:val="00153651"/>
    <w:rsid w:val="001553C4"/>
    <w:rsid w:val="00155F5F"/>
    <w:rsid w:val="00161D9C"/>
    <w:rsid w:val="00164CC2"/>
    <w:rsid w:val="001664D8"/>
    <w:rsid w:val="0018088D"/>
    <w:rsid w:val="001824E4"/>
    <w:rsid w:val="0018559D"/>
    <w:rsid w:val="00186919"/>
    <w:rsid w:val="0019086C"/>
    <w:rsid w:val="00192490"/>
    <w:rsid w:val="001929E3"/>
    <w:rsid w:val="00193A64"/>
    <w:rsid w:val="00194B59"/>
    <w:rsid w:val="00197222"/>
    <w:rsid w:val="001A0442"/>
    <w:rsid w:val="001A3E41"/>
    <w:rsid w:val="001A40A4"/>
    <w:rsid w:val="001A4E1B"/>
    <w:rsid w:val="001A6B7B"/>
    <w:rsid w:val="001A792E"/>
    <w:rsid w:val="001B4300"/>
    <w:rsid w:val="001B718B"/>
    <w:rsid w:val="001C140E"/>
    <w:rsid w:val="001C407F"/>
    <w:rsid w:val="001C5859"/>
    <w:rsid w:val="001C726F"/>
    <w:rsid w:val="001D0021"/>
    <w:rsid w:val="001D07AE"/>
    <w:rsid w:val="001D1E26"/>
    <w:rsid w:val="001D2088"/>
    <w:rsid w:val="001D2C9F"/>
    <w:rsid w:val="001D49A1"/>
    <w:rsid w:val="001D69E9"/>
    <w:rsid w:val="001D6DEB"/>
    <w:rsid w:val="001E257B"/>
    <w:rsid w:val="001E4C57"/>
    <w:rsid w:val="001F133A"/>
    <w:rsid w:val="001F26AD"/>
    <w:rsid w:val="001F42E4"/>
    <w:rsid w:val="00200734"/>
    <w:rsid w:val="0020114C"/>
    <w:rsid w:val="002020BD"/>
    <w:rsid w:val="00204C7F"/>
    <w:rsid w:val="002078DD"/>
    <w:rsid w:val="002148A3"/>
    <w:rsid w:val="0021554E"/>
    <w:rsid w:val="00220324"/>
    <w:rsid w:val="00221FB5"/>
    <w:rsid w:val="00231A9E"/>
    <w:rsid w:val="00235886"/>
    <w:rsid w:val="00240E13"/>
    <w:rsid w:val="00244D3E"/>
    <w:rsid w:val="002470D6"/>
    <w:rsid w:val="00247C59"/>
    <w:rsid w:val="00251D8E"/>
    <w:rsid w:val="00251F69"/>
    <w:rsid w:val="00253686"/>
    <w:rsid w:val="00256DD8"/>
    <w:rsid w:val="002573CC"/>
    <w:rsid w:val="0026678D"/>
    <w:rsid w:val="00267D15"/>
    <w:rsid w:val="00270F1A"/>
    <w:rsid w:val="00272277"/>
    <w:rsid w:val="002731E4"/>
    <w:rsid w:val="00276CBD"/>
    <w:rsid w:val="002773EB"/>
    <w:rsid w:val="002818A1"/>
    <w:rsid w:val="00284871"/>
    <w:rsid w:val="002921F5"/>
    <w:rsid w:val="00293E6D"/>
    <w:rsid w:val="0029724A"/>
    <w:rsid w:val="002A2DED"/>
    <w:rsid w:val="002A34BC"/>
    <w:rsid w:val="002A36AE"/>
    <w:rsid w:val="002A4BBC"/>
    <w:rsid w:val="002A7657"/>
    <w:rsid w:val="002B1C2A"/>
    <w:rsid w:val="002B3756"/>
    <w:rsid w:val="002B49A8"/>
    <w:rsid w:val="002B5C18"/>
    <w:rsid w:val="002B5CE3"/>
    <w:rsid w:val="002C17C3"/>
    <w:rsid w:val="002C372B"/>
    <w:rsid w:val="002C47EE"/>
    <w:rsid w:val="002C4F3C"/>
    <w:rsid w:val="002C50FD"/>
    <w:rsid w:val="002C57FF"/>
    <w:rsid w:val="002D4962"/>
    <w:rsid w:val="002D5583"/>
    <w:rsid w:val="002D69D2"/>
    <w:rsid w:val="002D6A27"/>
    <w:rsid w:val="002E5FDA"/>
    <w:rsid w:val="002E68FD"/>
    <w:rsid w:val="002E779E"/>
    <w:rsid w:val="002E7DF7"/>
    <w:rsid w:val="002F2C1F"/>
    <w:rsid w:val="002F351A"/>
    <w:rsid w:val="002F55C5"/>
    <w:rsid w:val="002F567E"/>
    <w:rsid w:val="00303309"/>
    <w:rsid w:val="003056BB"/>
    <w:rsid w:val="00305716"/>
    <w:rsid w:val="00305C44"/>
    <w:rsid w:val="00305D0F"/>
    <w:rsid w:val="00311E52"/>
    <w:rsid w:val="003123AE"/>
    <w:rsid w:val="0031684B"/>
    <w:rsid w:val="003168D5"/>
    <w:rsid w:val="00317A46"/>
    <w:rsid w:val="003200D6"/>
    <w:rsid w:val="00321715"/>
    <w:rsid w:val="00330A48"/>
    <w:rsid w:val="00334F96"/>
    <w:rsid w:val="003410E6"/>
    <w:rsid w:val="00341F16"/>
    <w:rsid w:val="003445BC"/>
    <w:rsid w:val="00345913"/>
    <w:rsid w:val="0034732F"/>
    <w:rsid w:val="00350DDF"/>
    <w:rsid w:val="0035558C"/>
    <w:rsid w:val="00356FE7"/>
    <w:rsid w:val="00357DF7"/>
    <w:rsid w:val="003619B9"/>
    <w:rsid w:val="00374024"/>
    <w:rsid w:val="00376C63"/>
    <w:rsid w:val="00380389"/>
    <w:rsid w:val="003908F1"/>
    <w:rsid w:val="00394B4D"/>
    <w:rsid w:val="003A5422"/>
    <w:rsid w:val="003A615E"/>
    <w:rsid w:val="003A659E"/>
    <w:rsid w:val="003B2135"/>
    <w:rsid w:val="003B7B4E"/>
    <w:rsid w:val="003C5039"/>
    <w:rsid w:val="003C6541"/>
    <w:rsid w:val="003C6944"/>
    <w:rsid w:val="003C7E54"/>
    <w:rsid w:val="003D448A"/>
    <w:rsid w:val="003D71C9"/>
    <w:rsid w:val="003D7BBF"/>
    <w:rsid w:val="003E306E"/>
    <w:rsid w:val="003E47F5"/>
    <w:rsid w:val="003F0535"/>
    <w:rsid w:val="003F2A5C"/>
    <w:rsid w:val="003F3EFD"/>
    <w:rsid w:val="003F71AE"/>
    <w:rsid w:val="003F77CE"/>
    <w:rsid w:val="0041114F"/>
    <w:rsid w:val="00412610"/>
    <w:rsid w:val="00412BEB"/>
    <w:rsid w:val="00414B33"/>
    <w:rsid w:val="00420FA9"/>
    <w:rsid w:val="004215AF"/>
    <w:rsid w:val="0042327F"/>
    <w:rsid w:val="00424663"/>
    <w:rsid w:val="00424EB3"/>
    <w:rsid w:val="00430672"/>
    <w:rsid w:val="00430E91"/>
    <w:rsid w:val="004354CD"/>
    <w:rsid w:val="004376AF"/>
    <w:rsid w:val="004376F9"/>
    <w:rsid w:val="00460604"/>
    <w:rsid w:val="004629F9"/>
    <w:rsid w:val="00464852"/>
    <w:rsid w:val="00467225"/>
    <w:rsid w:val="004673EA"/>
    <w:rsid w:val="00473D6B"/>
    <w:rsid w:val="00477C46"/>
    <w:rsid w:val="00480C45"/>
    <w:rsid w:val="00485440"/>
    <w:rsid w:val="00492E0D"/>
    <w:rsid w:val="0049698B"/>
    <w:rsid w:val="00496D1E"/>
    <w:rsid w:val="004A0424"/>
    <w:rsid w:val="004A198F"/>
    <w:rsid w:val="004A5922"/>
    <w:rsid w:val="004B518C"/>
    <w:rsid w:val="004B5471"/>
    <w:rsid w:val="004C033E"/>
    <w:rsid w:val="004C137E"/>
    <w:rsid w:val="004C1B03"/>
    <w:rsid w:val="004C2913"/>
    <w:rsid w:val="004C34C6"/>
    <w:rsid w:val="004C4019"/>
    <w:rsid w:val="004C5F1B"/>
    <w:rsid w:val="004D022F"/>
    <w:rsid w:val="004D0300"/>
    <w:rsid w:val="004D756B"/>
    <w:rsid w:val="004E3C30"/>
    <w:rsid w:val="004E700B"/>
    <w:rsid w:val="004F40FF"/>
    <w:rsid w:val="004F6D1C"/>
    <w:rsid w:val="004F735A"/>
    <w:rsid w:val="005008EF"/>
    <w:rsid w:val="00500DE9"/>
    <w:rsid w:val="00503A51"/>
    <w:rsid w:val="00504371"/>
    <w:rsid w:val="00511B97"/>
    <w:rsid w:val="00511FF6"/>
    <w:rsid w:val="0051293E"/>
    <w:rsid w:val="00514896"/>
    <w:rsid w:val="00515492"/>
    <w:rsid w:val="00515B77"/>
    <w:rsid w:val="00517103"/>
    <w:rsid w:val="0052453D"/>
    <w:rsid w:val="005246C9"/>
    <w:rsid w:val="0052621E"/>
    <w:rsid w:val="00527259"/>
    <w:rsid w:val="00532790"/>
    <w:rsid w:val="00534736"/>
    <w:rsid w:val="005374F5"/>
    <w:rsid w:val="00537D5B"/>
    <w:rsid w:val="0054005C"/>
    <w:rsid w:val="00542C9A"/>
    <w:rsid w:val="0054306D"/>
    <w:rsid w:val="00544FA4"/>
    <w:rsid w:val="00545EB8"/>
    <w:rsid w:val="005504CA"/>
    <w:rsid w:val="00561F96"/>
    <w:rsid w:val="00563140"/>
    <w:rsid w:val="00564642"/>
    <w:rsid w:val="005730BB"/>
    <w:rsid w:val="00573428"/>
    <w:rsid w:val="00573477"/>
    <w:rsid w:val="00574CA5"/>
    <w:rsid w:val="00582FDE"/>
    <w:rsid w:val="00583C01"/>
    <w:rsid w:val="00585A6A"/>
    <w:rsid w:val="005900BF"/>
    <w:rsid w:val="005918D8"/>
    <w:rsid w:val="005961BD"/>
    <w:rsid w:val="005A474D"/>
    <w:rsid w:val="005A6B70"/>
    <w:rsid w:val="005A7F63"/>
    <w:rsid w:val="005B0619"/>
    <w:rsid w:val="005B16D4"/>
    <w:rsid w:val="005B3DAA"/>
    <w:rsid w:val="005C1FED"/>
    <w:rsid w:val="005C3D48"/>
    <w:rsid w:val="005C6F19"/>
    <w:rsid w:val="005C759B"/>
    <w:rsid w:val="005D0C9D"/>
    <w:rsid w:val="005D1717"/>
    <w:rsid w:val="005D57FB"/>
    <w:rsid w:val="005D7D94"/>
    <w:rsid w:val="005E0961"/>
    <w:rsid w:val="005E2205"/>
    <w:rsid w:val="005E3126"/>
    <w:rsid w:val="005E3AAD"/>
    <w:rsid w:val="005E6BBE"/>
    <w:rsid w:val="005E6D0D"/>
    <w:rsid w:val="005F0DEB"/>
    <w:rsid w:val="005F26B6"/>
    <w:rsid w:val="005F5A80"/>
    <w:rsid w:val="005F5DEF"/>
    <w:rsid w:val="005F6A44"/>
    <w:rsid w:val="005F7B81"/>
    <w:rsid w:val="0060231D"/>
    <w:rsid w:val="006030DC"/>
    <w:rsid w:val="00604088"/>
    <w:rsid w:val="00604DA8"/>
    <w:rsid w:val="00607682"/>
    <w:rsid w:val="006174E1"/>
    <w:rsid w:val="006207B9"/>
    <w:rsid w:val="00631EEB"/>
    <w:rsid w:val="006321B0"/>
    <w:rsid w:val="00634B57"/>
    <w:rsid w:val="00634ED5"/>
    <w:rsid w:val="00637555"/>
    <w:rsid w:val="006455B4"/>
    <w:rsid w:val="0065254B"/>
    <w:rsid w:val="00652A64"/>
    <w:rsid w:val="00652E81"/>
    <w:rsid w:val="006569CC"/>
    <w:rsid w:val="006617F4"/>
    <w:rsid w:val="00664FC3"/>
    <w:rsid w:val="0067644F"/>
    <w:rsid w:val="006801B7"/>
    <w:rsid w:val="006809D2"/>
    <w:rsid w:val="00683AD0"/>
    <w:rsid w:val="00684B12"/>
    <w:rsid w:val="0068622F"/>
    <w:rsid w:val="006910D6"/>
    <w:rsid w:val="00691A22"/>
    <w:rsid w:val="006943B0"/>
    <w:rsid w:val="0069563A"/>
    <w:rsid w:val="006A2AC7"/>
    <w:rsid w:val="006A3193"/>
    <w:rsid w:val="006B01A1"/>
    <w:rsid w:val="006B1235"/>
    <w:rsid w:val="006B14B0"/>
    <w:rsid w:val="006C1E25"/>
    <w:rsid w:val="006C44E2"/>
    <w:rsid w:val="006C46D1"/>
    <w:rsid w:val="006C5593"/>
    <w:rsid w:val="006D210F"/>
    <w:rsid w:val="006D22EE"/>
    <w:rsid w:val="006D39A6"/>
    <w:rsid w:val="006D4381"/>
    <w:rsid w:val="006D52AC"/>
    <w:rsid w:val="006D5C18"/>
    <w:rsid w:val="006E0490"/>
    <w:rsid w:val="006E6E4A"/>
    <w:rsid w:val="006F0648"/>
    <w:rsid w:val="006F0D77"/>
    <w:rsid w:val="006F24E8"/>
    <w:rsid w:val="006F35B9"/>
    <w:rsid w:val="006F4C2A"/>
    <w:rsid w:val="006F5027"/>
    <w:rsid w:val="006F53C7"/>
    <w:rsid w:val="00702DDE"/>
    <w:rsid w:val="0070483D"/>
    <w:rsid w:val="00705785"/>
    <w:rsid w:val="00705940"/>
    <w:rsid w:val="00706648"/>
    <w:rsid w:val="007100CB"/>
    <w:rsid w:val="007105C2"/>
    <w:rsid w:val="00711AB0"/>
    <w:rsid w:val="00711F29"/>
    <w:rsid w:val="007133FF"/>
    <w:rsid w:val="0071681D"/>
    <w:rsid w:val="007176BB"/>
    <w:rsid w:val="00720683"/>
    <w:rsid w:val="007221C5"/>
    <w:rsid w:val="00722E6C"/>
    <w:rsid w:val="0072332F"/>
    <w:rsid w:val="0072389E"/>
    <w:rsid w:val="007256D6"/>
    <w:rsid w:val="0072613B"/>
    <w:rsid w:val="00726621"/>
    <w:rsid w:val="00730775"/>
    <w:rsid w:val="00732DCE"/>
    <w:rsid w:val="00737791"/>
    <w:rsid w:val="00737E81"/>
    <w:rsid w:val="007400A8"/>
    <w:rsid w:val="00740BD2"/>
    <w:rsid w:val="00741C08"/>
    <w:rsid w:val="00747C3A"/>
    <w:rsid w:val="007514B7"/>
    <w:rsid w:val="007539ED"/>
    <w:rsid w:val="0075474E"/>
    <w:rsid w:val="00765506"/>
    <w:rsid w:val="00765987"/>
    <w:rsid w:val="00767375"/>
    <w:rsid w:val="00770826"/>
    <w:rsid w:val="00770F74"/>
    <w:rsid w:val="00773081"/>
    <w:rsid w:val="00773C0C"/>
    <w:rsid w:val="007741E2"/>
    <w:rsid w:val="00774803"/>
    <w:rsid w:val="007754BD"/>
    <w:rsid w:val="007819AD"/>
    <w:rsid w:val="00785367"/>
    <w:rsid w:val="0078580A"/>
    <w:rsid w:val="00787AE0"/>
    <w:rsid w:val="00790B9F"/>
    <w:rsid w:val="00790BE7"/>
    <w:rsid w:val="00790F2A"/>
    <w:rsid w:val="00794B11"/>
    <w:rsid w:val="0079586B"/>
    <w:rsid w:val="007958F3"/>
    <w:rsid w:val="00797E7C"/>
    <w:rsid w:val="007A1982"/>
    <w:rsid w:val="007A3116"/>
    <w:rsid w:val="007A3B80"/>
    <w:rsid w:val="007B0919"/>
    <w:rsid w:val="007B1432"/>
    <w:rsid w:val="007B2B9F"/>
    <w:rsid w:val="007B2D6C"/>
    <w:rsid w:val="007B6FD9"/>
    <w:rsid w:val="007B7104"/>
    <w:rsid w:val="007C28D5"/>
    <w:rsid w:val="007C60B2"/>
    <w:rsid w:val="007D2897"/>
    <w:rsid w:val="007D7367"/>
    <w:rsid w:val="007E5C4A"/>
    <w:rsid w:val="007E63A3"/>
    <w:rsid w:val="007E768E"/>
    <w:rsid w:val="007E7DD0"/>
    <w:rsid w:val="007F06B5"/>
    <w:rsid w:val="007F3C10"/>
    <w:rsid w:val="007F4201"/>
    <w:rsid w:val="007F5BC3"/>
    <w:rsid w:val="007F6390"/>
    <w:rsid w:val="007F7B70"/>
    <w:rsid w:val="0080565A"/>
    <w:rsid w:val="00806024"/>
    <w:rsid w:val="00806963"/>
    <w:rsid w:val="00811198"/>
    <w:rsid w:val="00815ED8"/>
    <w:rsid w:val="0082262E"/>
    <w:rsid w:val="00824A18"/>
    <w:rsid w:val="008258A4"/>
    <w:rsid w:val="00831258"/>
    <w:rsid w:val="00831D90"/>
    <w:rsid w:val="00837744"/>
    <w:rsid w:val="008470F4"/>
    <w:rsid w:val="00847C95"/>
    <w:rsid w:val="00850BB8"/>
    <w:rsid w:val="0085518E"/>
    <w:rsid w:val="00855D77"/>
    <w:rsid w:val="00857545"/>
    <w:rsid w:val="0086121C"/>
    <w:rsid w:val="00865215"/>
    <w:rsid w:val="00867902"/>
    <w:rsid w:val="008707E8"/>
    <w:rsid w:val="00871E16"/>
    <w:rsid w:val="00874499"/>
    <w:rsid w:val="008773A4"/>
    <w:rsid w:val="00877A77"/>
    <w:rsid w:val="00880006"/>
    <w:rsid w:val="00880FC6"/>
    <w:rsid w:val="00896DAF"/>
    <w:rsid w:val="008A060B"/>
    <w:rsid w:val="008A1B74"/>
    <w:rsid w:val="008A2CA8"/>
    <w:rsid w:val="008B0ADF"/>
    <w:rsid w:val="008B1906"/>
    <w:rsid w:val="008B1A15"/>
    <w:rsid w:val="008B5A44"/>
    <w:rsid w:val="008B7F70"/>
    <w:rsid w:val="008C0DFA"/>
    <w:rsid w:val="008C28E0"/>
    <w:rsid w:val="008C47B4"/>
    <w:rsid w:val="008D04C6"/>
    <w:rsid w:val="008D1BDB"/>
    <w:rsid w:val="008D1C25"/>
    <w:rsid w:val="008D3B71"/>
    <w:rsid w:val="008D43F3"/>
    <w:rsid w:val="008D4D35"/>
    <w:rsid w:val="008D65DA"/>
    <w:rsid w:val="008D6714"/>
    <w:rsid w:val="008D6FDB"/>
    <w:rsid w:val="008D74D8"/>
    <w:rsid w:val="008E53E3"/>
    <w:rsid w:val="008F0C21"/>
    <w:rsid w:val="008F1B09"/>
    <w:rsid w:val="008F22E2"/>
    <w:rsid w:val="008F23C5"/>
    <w:rsid w:val="008F6225"/>
    <w:rsid w:val="008F717B"/>
    <w:rsid w:val="008F71BC"/>
    <w:rsid w:val="009003DE"/>
    <w:rsid w:val="00901F62"/>
    <w:rsid w:val="00903FC2"/>
    <w:rsid w:val="00904120"/>
    <w:rsid w:val="009078B0"/>
    <w:rsid w:val="0091334D"/>
    <w:rsid w:val="00915386"/>
    <w:rsid w:val="009201FE"/>
    <w:rsid w:val="0092125E"/>
    <w:rsid w:val="00921362"/>
    <w:rsid w:val="00922B1A"/>
    <w:rsid w:val="00925B44"/>
    <w:rsid w:val="0093059D"/>
    <w:rsid w:val="00932ED9"/>
    <w:rsid w:val="00934B71"/>
    <w:rsid w:val="0093581F"/>
    <w:rsid w:val="00936C5B"/>
    <w:rsid w:val="00942B77"/>
    <w:rsid w:val="0094418E"/>
    <w:rsid w:val="00944206"/>
    <w:rsid w:val="009509AF"/>
    <w:rsid w:val="00957A52"/>
    <w:rsid w:val="0096014C"/>
    <w:rsid w:val="0096163E"/>
    <w:rsid w:val="009622DA"/>
    <w:rsid w:val="00966C8A"/>
    <w:rsid w:val="00967AE9"/>
    <w:rsid w:val="00977D48"/>
    <w:rsid w:val="00983511"/>
    <w:rsid w:val="00984BCD"/>
    <w:rsid w:val="009851CC"/>
    <w:rsid w:val="009858EC"/>
    <w:rsid w:val="00987C6D"/>
    <w:rsid w:val="009907B9"/>
    <w:rsid w:val="009909FD"/>
    <w:rsid w:val="00993A25"/>
    <w:rsid w:val="009A224F"/>
    <w:rsid w:val="009A2573"/>
    <w:rsid w:val="009A6107"/>
    <w:rsid w:val="009B183A"/>
    <w:rsid w:val="009B2DC2"/>
    <w:rsid w:val="009B30D0"/>
    <w:rsid w:val="009B63B6"/>
    <w:rsid w:val="009B76E4"/>
    <w:rsid w:val="009C04F0"/>
    <w:rsid w:val="009C0967"/>
    <w:rsid w:val="009C098F"/>
    <w:rsid w:val="009C3B62"/>
    <w:rsid w:val="009C5993"/>
    <w:rsid w:val="009D1ADF"/>
    <w:rsid w:val="009D64D9"/>
    <w:rsid w:val="009D6661"/>
    <w:rsid w:val="009E2BF4"/>
    <w:rsid w:val="009E2CA1"/>
    <w:rsid w:val="009E3BCC"/>
    <w:rsid w:val="009E4636"/>
    <w:rsid w:val="009E4F1A"/>
    <w:rsid w:val="009E6607"/>
    <w:rsid w:val="009E7B33"/>
    <w:rsid w:val="009E7D5D"/>
    <w:rsid w:val="009E7FA2"/>
    <w:rsid w:val="009F0687"/>
    <w:rsid w:val="009F16E9"/>
    <w:rsid w:val="009F189F"/>
    <w:rsid w:val="009F48F4"/>
    <w:rsid w:val="00A00BE1"/>
    <w:rsid w:val="00A013E6"/>
    <w:rsid w:val="00A03361"/>
    <w:rsid w:val="00A04403"/>
    <w:rsid w:val="00A1017B"/>
    <w:rsid w:val="00A10E9A"/>
    <w:rsid w:val="00A1293B"/>
    <w:rsid w:val="00A14A44"/>
    <w:rsid w:val="00A14B8A"/>
    <w:rsid w:val="00A17DF9"/>
    <w:rsid w:val="00A17E7C"/>
    <w:rsid w:val="00A25D5E"/>
    <w:rsid w:val="00A30C3F"/>
    <w:rsid w:val="00A32374"/>
    <w:rsid w:val="00A33976"/>
    <w:rsid w:val="00A33B07"/>
    <w:rsid w:val="00A41623"/>
    <w:rsid w:val="00A4693E"/>
    <w:rsid w:val="00A47EC3"/>
    <w:rsid w:val="00A501C0"/>
    <w:rsid w:val="00A568FB"/>
    <w:rsid w:val="00A60CC4"/>
    <w:rsid w:val="00A61A70"/>
    <w:rsid w:val="00A62BB2"/>
    <w:rsid w:val="00A6599B"/>
    <w:rsid w:val="00A67EDA"/>
    <w:rsid w:val="00A71627"/>
    <w:rsid w:val="00A824DC"/>
    <w:rsid w:val="00A87853"/>
    <w:rsid w:val="00A90480"/>
    <w:rsid w:val="00A939D6"/>
    <w:rsid w:val="00AA17DD"/>
    <w:rsid w:val="00AA3625"/>
    <w:rsid w:val="00AA521A"/>
    <w:rsid w:val="00AA60EA"/>
    <w:rsid w:val="00AA70C5"/>
    <w:rsid w:val="00AA79DF"/>
    <w:rsid w:val="00AA7B64"/>
    <w:rsid w:val="00AB54DA"/>
    <w:rsid w:val="00AB5DA9"/>
    <w:rsid w:val="00AC5A67"/>
    <w:rsid w:val="00AC7D83"/>
    <w:rsid w:val="00AD36D4"/>
    <w:rsid w:val="00AD7A48"/>
    <w:rsid w:val="00AE7FE0"/>
    <w:rsid w:val="00AE7FEA"/>
    <w:rsid w:val="00AF275A"/>
    <w:rsid w:val="00AF49A8"/>
    <w:rsid w:val="00B02970"/>
    <w:rsid w:val="00B02A20"/>
    <w:rsid w:val="00B03CA6"/>
    <w:rsid w:val="00B073A7"/>
    <w:rsid w:val="00B117F9"/>
    <w:rsid w:val="00B15D0F"/>
    <w:rsid w:val="00B20731"/>
    <w:rsid w:val="00B2100D"/>
    <w:rsid w:val="00B35737"/>
    <w:rsid w:val="00B373D3"/>
    <w:rsid w:val="00B37DB7"/>
    <w:rsid w:val="00B441AE"/>
    <w:rsid w:val="00B4447B"/>
    <w:rsid w:val="00B4587A"/>
    <w:rsid w:val="00B47DF1"/>
    <w:rsid w:val="00B5174B"/>
    <w:rsid w:val="00B5341D"/>
    <w:rsid w:val="00B5584A"/>
    <w:rsid w:val="00B56E55"/>
    <w:rsid w:val="00B57B7B"/>
    <w:rsid w:val="00B620A8"/>
    <w:rsid w:val="00B6344F"/>
    <w:rsid w:val="00B677C4"/>
    <w:rsid w:val="00B748A2"/>
    <w:rsid w:val="00B748E1"/>
    <w:rsid w:val="00B80A98"/>
    <w:rsid w:val="00B8153F"/>
    <w:rsid w:val="00B8421F"/>
    <w:rsid w:val="00B84254"/>
    <w:rsid w:val="00B84A8A"/>
    <w:rsid w:val="00B87DBA"/>
    <w:rsid w:val="00B90DF2"/>
    <w:rsid w:val="00B930BD"/>
    <w:rsid w:val="00B95EEC"/>
    <w:rsid w:val="00B963FB"/>
    <w:rsid w:val="00BA0B1F"/>
    <w:rsid w:val="00BA4A36"/>
    <w:rsid w:val="00BB0443"/>
    <w:rsid w:val="00BB1F75"/>
    <w:rsid w:val="00BB3DBD"/>
    <w:rsid w:val="00BB489D"/>
    <w:rsid w:val="00BC58C0"/>
    <w:rsid w:val="00BC66A1"/>
    <w:rsid w:val="00BD1F39"/>
    <w:rsid w:val="00BD3194"/>
    <w:rsid w:val="00BD3B0D"/>
    <w:rsid w:val="00BE1998"/>
    <w:rsid w:val="00BE3274"/>
    <w:rsid w:val="00BE41A3"/>
    <w:rsid w:val="00BE5F81"/>
    <w:rsid w:val="00BE676C"/>
    <w:rsid w:val="00BF0A7F"/>
    <w:rsid w:val="00BF10C3"/>
    <w:rsid w:val="00BF1E50"/>
    <w:rsid w:val="00BF23C0"/>
    <w:rsid w:val="00BF3522"/>
    <w:rsid w:val="00BF773B"/>
    <w:rsid w:val="00C00510"/>
    <w:rsid w:val="00C0091F"/>
    <w:rsid w:val="00C00A2C"/>
    <w:rsid w:val="00C01284"/>
    <w:rsid w:val="00C02134"/>
    <w:rsid w:val="00C03D3B"/>
    <w:rsid w:val="00C0688D"/>
    <w:rsid w:val="00C07EAC"/>
    <w:rsid w:val="00C1365D"/>
    <w:rsid w:val="00C14B2A"/>
    <w:rsid w:val="00C229A0"/>
    <w:rsid w:val="00C23CDA"/>
    <w:rsid w:val="00C242AF"/>
    <w:rsid w:val="00C27114"/>
    <w:rsid w:val="00C30A02"/>
    <w:rsid w:val="00C3297D"/>
    <w:rsid w:val="00C33D60"/>
    <w:rsid w:val="00C3508C"/>
    <w:rsid w:val="00C36A5B"/>
    <w:rsid w:val="00C40165"/>
    <w:rsid w:val="00C45720"/>
    <w:rsid w:val="00C562EF"/>
    <w:rsid w:val="00C65854"/>
    <w:rsid w:val="00C74AE5"/>
    <w:rsid w:val="00C76718"/>
    <w:rsid w:val="00C80847"/>
    <w:rsid w:val="00C819C8"/>
    <w:rsid w:val="00C82F72"/>
    <w:rsid w:val="00C863B7"/>
    <w:rsid w:val="00C87672"/>
    <w:rsid w:val="00C900D0"/>
    <w:rsid w:val="00C906A7"/>
    <w:rsid w:val="00C90EDD"/>
    <w:rsid w:val="00C914FB"/>
    <w:rsid w:val="00C9165F"/>
    <w:rsid w:val="00C94232"/>
    <w:rsid w:val="00C95FBB"/>
    <w:rsid w:val="00CA316D"/>
    <w:rsid w:val="00CA5F14"/>
    <w:rsid w:val="00CA635B"/>
    <w:rsid w:val="00CA69F1"/>
    <w:rsid w:val="00CA75BC"/>
    <w:rsid w:val="00CA7660"/>
    <w:rsid w:val="00CB329B"/>
    <w:rsid w:val="00CB6F15"/>
    <w:rsid w:val="00CC02AC"/>
    <w:rsid w:val="00CC1111"/>
    <w:rsid w:val="00CC218F"/>
    <w:rsid w:val="00CC4BAB"/>
    <w:rsid w:val="00CC67C0"/>
    <w:rsid w:val="00CC7CD9"/>
    <w:rsid w:val="00CD21B5"/>
    <w:rsid w:val="00CD2F99"/>
    <w:rsid w:val="00CD5113"/>
    <w:rsid w:val="00CE0027"/>
    <w:rsid w:val="00CE0D42"/>
    <w:rsid w:val="00CE2344"/>
    <w:rsid w:val="00CE5BA0"/>
    <w:rsid w:val="00CE5D66"/>
    <w:rsid w:val="00CE7516"/>
    <w:rsid w:val="00CF12E9"/>
    <w:rsid w:val="00CF21F8"/>
    <w:rsid w:val="00CF369D"/>
    <w:rsid w:val="00D01AAA"/>
    <w:rsid w:val="00D032B7"/>
    <w:rsid w:val="00D03876"/>
    <w:rsid w:val="00D15B50"/>
    <w:rsid w:val="00D16370"/>
    <w:rsid w:val="00D21F26"/>
    <w:rsid w:val="00D22D7B"/>
    <w:rsid w:val="00D243A9"/>
    <w:rsid w:val="00D24C72"/>
    <w:rsid w:val="00D25F75"/>
    <w:rsid w:val="00D27E6C"/>
    <w:rsid w:val="00D32EA7"/>
    <w:rsid w:val="00D3367B"/>
    <w:rsid w:val="00D33F6E"/>
    <w:rsid w:val="00D36AA4"/>
    <w:rsid w:val="00D37CD9"/>
    <w:rsid w:val="00D4458D"/>
    <w:rsid w:val="00D44BB0"/>
    <w:rsid w:val="00D539D2"/>
    <w:rsid w:val="00D557C1"/>
    <w:rsid w:val="00D56AB3"/>
    <w:rsid w:val="00D609D4"/>
    <w:rsid w:val="00D76FE2"/>
    <w:rsid w:val="00D822E2"/>
    <w:rsid w:val="00D82703"/>
    <w:rsid w:val="00D842C3"/>
    <w:rsid w:val="00D90D4B"/>
    <w:rsid w:val="00D932EE"/>
    <w:rsid w:val="00D979F1"/>
    <w:rsid w:val="00DA29E1"/>
    <w:rsid w:val="00DA5734"/>
    <w:rsid w:val="00DB0C38"/>
    <w:rsid w:val="00DB3298"/>
    <w:rsid w:val="00DB3B56"/>
    <w:rsid w:val="00DB3CF2"/>
    <w:rsid w:val="00DC0F4E"/>
    <w:rsid w:val="00DC2122"/>
    <w:rsid w:val="00DC3081"/>
    <w:rsid w:val="00DC4577"/>
    <w:rsid w:val="00DD1C49"/>
    <w:rsid w:val="00DD3045"/>
    <w:rsid w:val="00DD55E6"/>
    <w:rsid w:val="00DE334A"/>
    <w:rsid w:val="00DE6415"/>
    <w:rsid w:val="00DE6AC5"/>
    <w:rsid w:val="00DF5D68"/>
    <w:rsid w:val="00DF64A4"/>
    <w:rsid w:val="00DF6C82"/>
    <w:rsid w:val="00DF7E40"/>
    <w:rsid w:val="00E00779"/>
    <w:rsid w:val="00E00A89"/>
    <w:rsid w:val="00E02E4D"/>
    <w:rsid w:val="00E04D37"/>
    <w:rsid w:val="00E07D11"/>
    <w:rsid w:val="00E1508E"/>
    <w:rsid w:val="00E16246"/>
    <w:rsid w:val="00E268E1"/>
    <w:rsid w:val="00E3391B"/>
    <w:rsid w:val="00E33A27"/>
    <w:rsid w:val="00E36164"/>
    <w:rsid w:val="00E36E4B"/>
    <w:rsid w:val="00E45296"/>
    <w:rsid w:val="00E4530E"/>
    <w:rsid w:val="00E45E12"/>
    <w:rsid w:val="00E47D69"/>
    <w:rsid w:val="00E50BCC"/>
    <w:rsid w:val="00E55A97"/>
    <w:rsid w:val="00E61CA0"/>
    <w:rsid w:val="00E65704"/>
    <w:rsid w:val="00E664CF"/>
    <w:rsid w:val="00E708CD"/>
    <w:rsid w:val="00E70BB4"/>
    <w:rsid w:val="00E751F6"/>
    <w:rsid w:val="00E87799"/>
    <w:rsid w:val="00E942AE"/>
    <w:rsid w:val="00E9721D"/>
    <w:rsid w:val="00EA2518"/>
    <w:rsid w:val="00EA2C27"/>
    <w:rsid w:val="00EA3305"/>
    <w:rsid w:val="00EA5D04"/>
    <w:rsid w:val="00EB0E11"/>
    <w:rsid w:val="00EB1A6C"/>
    <w:rsid w:val="00EB622D"/>
    <w:rsid w:val="00EC2F62"/>
    <w:rsid w:val="00EC5D35"/>
    <w:rsid w:val="00EC5DA3"/>
    <w:rsid w:val="00EC60B8"/>
    <w:rsid w:val="00EC69B3"/>
    <w:rsid w:val="00ED07EC"/>
    <w:rsid w:val="00ED2CD9"/>
    <w:rsid w:val="00ED7AD5"/>
    <w:rsid w:val="00EE0F5E"/>
    <w:rsid w:val="00EE3069"/>
    <w:rsid w:val="00EF2B8F"/>
    <w:rsid w:val="00EF6B0C"/>
    <w:rsid w:val="00EF7484"/>
    <w:rsid w:val="00EF7742"/>
    <w:rsid w:val="00F0445E"/>
    <w:rsid w:val="00F058D6"/>
    <w:rsid w:val="00F059DE"/>
    <w:rsid w:val="00F06156"/>
    <w:rsid w:val="00F06628"/>
    <w:rsid w:val="00F06E79"/>
    <w:rsid w:val="00F07E17"/>
    <w:rsid w:val="00F111B4"/>
    <w:rsid w:val="00F112BA"/>
    <w:rsid w:val="00F11CF3"/>
    <w:rsid w:val="00F16A17"/>
    <w:rsid w:val="00F218AC"/>
    <w:rsid w:val="00F235FF"/>
    <w:rsid w:val="00F25CAC"/>
    <w:rsid w:val="00F2605F"/>
    <w:rsid w:val="00F26F8D"/>
    <w:rsid w:val="00F270D5"/>
    <w:rsid w:val="00F30045"/>
    <w:rsid w:val="00F30700"/>
    <w:rsid w:val="00F30C1F"/>
    <w:rsid w:val="00F31D92"/>
    <w:rsid w:val="00F43F46"/>
    <w:rsid w:val="00F5381F"/>
    <w:rsid w:val="00F5516D"/>
    <w:rsid w:val="00F6584E"/>
    <w:rsid w:val="00F6721E"/>
    <w:rsid w:val="00F70BC7"/>
    <w:rsid w:val="00F7289D"/>
    <w:rsid w:val="00F829C8"/>
    <w:rsid w:val="00F82E89"/>
    <w:rsid w:val="00F82F3D"/>
    <w:rsid w:val="00F83AC3"/>
    <w:rsid w:val="00F852D2"/>
    <w:rsid w:val="00F86782"/>
    <w:rsid w:val="00F874D1"/>
    <w:rsid w:val="00F90725"/>
    <w:rsid w:val="00F91D9F"/>
    <w:rsid w:val="00F96AD0"/>
    <w:rsid w:val="00FA1D12"/>
    <w:rsid w:val="00FB3848"/>
    <w:rsid w:val="00FB659D"/>
    <w:rsid w:val="00FB7021"/>
    <w:rsid w:val="00FD09F9"/>
    <w:rsid w:val="00FD0E91"/>
    <w:rsid w:val="00FD0FA6"/>
    <w:rsid w:val="00FD58D1"/>
    <w:rsid w:val="00FE1DCA"/>
    <w:rsid w:val="00FE4E06"/>
    <w:rsid w:val="00FE6F9C"/>
    <w:rsid w:val="00FF0940"/>
    <w:rsid w:val="00FF0A66"/>
    <w:rsid w:val="00FF11A2"/>
    <w:rsid w:val="00FF1454"/>
    <w:rsid w:val="00FF22E6"/>
    <w:rsid w:val="00FF5294"/>
    <w:rsid w:val="00FF6392"/>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35"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AA521A"/>
    <w:pPr>
      <w:spacing w:after="160" w:line="240" w:lineRule="atLeast"/>
    </w:pPr>
    <w:rPr>
      <w:rFonts w:ascii="Arial" w:hAnsi="Arial"/>
      <w:szCs w:val="22"/>
      <w:lang w:val="en-AU" w:eastAsia="en-US"/>
    </w:rPr>
  </w:style>
  <w:style w:type="paragraph" w:styleId="Heading1">
    <w:name w:val="heading 1"/>
    <w:basedOn w:val="Normal"/>
    <w:next w:val="Normal"/>
    <w:qFormat/>
    <w:rsid w:val="00305C44"/>
    <w:pPr>
      <w:outlineLvl w:val="0"/>
    </w:pPr>
    <w:rPr>
      <w:rFonts w:ascii="Times New Roman" w:hAnsi="Times New Roman"/>
      <w:b/>
      <w:sz w:val="24"/>
      <w:szCs w:val="24"/>
    </w:rPr>
  </w:style>
  <w:style w:type="paragraph" w:styleId="Heading2">
    <w:name w:val="heading 2"/>
    <w:basedOn w:val="Normal"/>
    <w:next w:val="Normal"/>
    <w:qFormat/>
    <w:rsid w:val="00305C44"/>
    <w:pPr>
      <w:outlineLvl w:val="1"/>
    </w:pPr>
    <w:rPr>
      <w:rFonts w:ascii="Times New Roman" w:hAnsi="Times New Roman"/>
      <w:b/>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9086C"/>
    <w:pPr>
      <w:tabs>
        <w:tab w:val="center" w:pos="4153"/>
        <w:tab w:val="right" w:pos="8306"/>
      </w:tabs>
      <w:spacing w:after="0" w:line="240" w:lineRule="auto"/>
    </w:pPr>
  </w:style>
  <w:style w:type="paragraph" w:styleId="Footer">
    <w:name w:val="footer"/>
    <w:basedOn w:val="Normal"/>
    <w:rsid w:val="007C28D5"/>
    <w:pPr>
      <w:tabs>
        <w:tab w:val="center" w:pos="4153"/>
        <w:tab w:val="right" w:pos="8306"/>
      </w:tabs>
      <w:spacing w:after="0" w:line="140" w:lineRule="atLeast"/>
      <w:jc w:val="center"/>
    </w:pPr>
    <w:rPr>
      <w:sz w:val="12"/>
      <w:szCs w:val="12"/>
    </w:rPr>
  </w:style>
  <w:style w:type="paragraph" w:customStyle="1" w:styleId="Reference">
    <w:name w:val="Reference"/>
    <w:basedOn w:val="Normal"/>
    <w:next w:val="Normal"/>
    <w:rsid w:val="003C6541"/>
    <w:pPr>
      <w:spacing w:after="0" w:line="220" w:lineRule="atLeast"/>
    </w:pPr>
    <w:rPr>
      <w:b/>
      <w:caps/>
      <w:szCs w:val="20"/>
    </w:rPr>
  </w:style>
  <w:style w:type="paragraph" w:customStyle="1" w:styleId="AddressBlock">
    <w:name w:val="Address Block"/>
    <w:basedOn w:val="Normal"/>
    <w:rsid w:val="00CC67C0"/>
    <w:pPr>
      <w:spacing w:after="0"/>
    </w:pPr>
  </w:style>
  <w:style w:type="paragraph" w:customStyle="1" w:styleId="Signatories">
    <w:name w:val="Signatories"/>
    <w:basedOn w:val="Normal"/>
    <w:rsid w:val="00040EBF"/>
    <w:pPr>
      <w:tabs>
        <w:tab w:val="left" w:pos="5387"/>
      </w:tabs>
      <w:spacing w:after="0" w:line="240" w:lineRule="auto"/>
    </w:pPr>
  </w:style>
  <w:style w:type="paragraph" w:customStyle="1" w:styleId="TMFooter">
    <w:name w:val="TM Footer"/>
    <w:basedOn w:val="Footer"/>
    <w:rsid w:val="00011CBA"/>
    <w:pPr>
      <w:spacing w:before="60"/>
    </w:pPr>
    <w:rPr>
      <w:b/>
    </w:rPr>
  </w:style>
  <w:style w:type="paragraph" w:customStyle="1" w:styleId="FooterCompanyName">
    <w:name w:val="Footer Company Name"/>
    <w:basedOn w:val="Footer"/>
    <w:rsid w:val="00AB54DA"/>
    <w:rPr>
      <w:b/>
    </w:rPr>
  </w:style>
  <w:style w:type="paragraph" w:customStyle="1" w:styleId="Disclaimer">
    <w:name w:val="Disclaimer"/>
    <w:basedOn w:val="Footer"/>
    <w:rsid w:val="0093581F"/>
    <w:pPr>
      <w:spacing w:line="160" w:lineRule="atLeast"/>
      <w:jc w:val="left"/>
    </w:pPr>
  </w:style>
  <w:style w:type="table" w:styleId="TableGrid">
    <w:name w:val="Table Grid"/>
    <w:basedOn w:val="TableNormal"/>
    <w:rsid w:val="00C94232"/>
    <w:pPr>
      <w:spacing w:after="120" w:line="28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MDetailsTable">
    <w:name w:val="TM Details Table"/>
    <w:basedOn w:val="Normal"/>
    <w:rsid w:val="00C863B7"/>
    <w:pPr>
      <w:spacing w:after="0" w:line="220" w:lineRule="atLeast"/>
      <w:jc w:val="right"/>
    </w:pPr>
    <w:rPr>
      <w:b/>
      <w:caps/>
      <w:szCs w:val="20"/>
    </w:rPr>
  </w:style>
  <w:style w:type="paragraph" w:customStyle="1" w:styleId="TMdetailstext">
    <w:name w:val="TM details text"/>
    <w:basedOn w:val="Normal"/>
    <w:rsid w:val="00691A22"/>
    <w:pPr>
      <w:framePr w:hSpace="180" w:wrap="around" w:vAnchor="text" w:hAnchor="text" w:y="229"/>
      <w:spacing w:after="0" w:line="220" w:lineRule="atLeast"/>
    </w:pPr>
  </w:style>
  <w:style w:type="paragraph" w:customStyle="1" w:styleId="Bullets">
    <w:name w:val="Bullets"/>
    <w:basedOn w:val="Normal"/>
    <w:rsid w:val="00B02970"/>
    <w:pPr>
      <w:numPr>
        <w:numId w:val="7"/>
      </w:numPr>
    </w:pPr>
    <w:rPr>
      <w:szCs w:val="24"/>
    </w:rPr>
  </w:style>
  <w:style w:type="paragraph" w:customStyle="1" w:styleId="SmallTextBold">
    <w:name w:val="Small Text Bold"/>
    <w:basedOn w:val="Normal"/>
    <w:rsid w:val="002573CC"/>
    <w:pPr>
      <w:spacing w:after="0"/>
    </w:pPr>
    <w:rPr>
      <w:b/>
      <w:sz w:val="18"/>
      <w:szCs w:val="18"/>
    </w:rPr>
  </w:style>
  <w:style w:type="paragraph" w:customStyle="1" w:styleId="SmallTextNormal">
    <w:name w:val="Small Text Normal"/>
    <w:basedOn w:val="Normal"/>
    <w:rsid w:val="002573CC"/>
    <w:pPr>
      <w:spacing w:after="0"/>
    </w:pPr>
    <w:rPr>
      <w:sz w:val="18"/>
      <w:szCs w:val="18"/>
    </w:rPr>
  </w:style>
  <w:style w:type="paragraph" w:customStyle="1" w:styleId="RomanNumbered">
    <w:name w:val="Roman Numbered"/>
    <w:basedOn w:val="Smallletters"/>
    <w:rsid w:val="002B49A8"/>
    <w:pPr>
      <w:numPr>
        <w:numId w:val="10"/>
      </w:numPr>
      <w:tabs>
        <w:tab w:val="left" w:pos="454"/>
      </w:tabs>
    </w:pPr>
  </w:style>
  <w:style w:type="paragraph" w:customStyle="1" w:styleId="Smallletters">
    <w:name w:val="Small letters"/>
    <w:basedOn w:val="Normal"/>
    <w:rsid w:val="00B02970"/>
    <w:pPr>
      <w:numPr>
        <w:numId w:val="9"/>
      </w:numPr>
    </w:pPr>
    <w:rPr>
      <w:szCs w:val="24"/>
    </w:rPr>
  </w:style>
  <w:style w:type="table" w:customStyle="1" w:styleId="GATableStyle">
    <w:name w:val="GA Table Style"/>
    <w:basedOn w:val="TableContemporary"/>
    <w:rsid w:val="00DF7E40"/>
    <w:pPr>
      <w:spacing w:after="100" w:afterAutospacing="1"/>
      <w:contextualSpacing/>
    </w:pPr>
    <w:tblPr>
      <w:tblStyleRowBandSize w:val="1"/>
      <w:tblInd w:w="0"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Contemporary">
    <w:name w:val="Table Contemporary"/>
    <w:basedOn w:val="TableNormal"/>
    <w:rsid w:val="007400A8"/>
    <w:pPr>
      <w:spacing w:line="280" w:lineRule="atLeast"/>
    </w:pPr>
    <w:rPr>
      <w:rFonts w:ascii="Arial" w:hAnsi="Arial"/>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NumberedList">
    <w:name w:val="Numbered List"/>
    <w:basedOn w:val="Normal"/>
    <w:rsid w:val="00B02970"/>
    <w:pPr>
      <w:numPr>
        <w:numId w:val="8"/>
      </w:numPr>
      <w:tabs>
        <w:tab w:val="left" w:pos="454"/>
      </w:tabs>
    </w:pPr>
    <w:rPr>
      <w:szCs w:val="24"/>
    </w:rPr>
  </w:style>
  <w:style w:type="paragraph" w:customStyle="1" w:styleId="IndentedText">
    <w:name w:val="Indented Text"/>
    <w:basedOn w:val="Normal"/>
    <w:rsid w:val="002F2C1F"/>
    <w:pPr>
      <w:ind w:left="454"/>
    </w:pPr>
  </w:style>
  <w:style w:type="paragraph" w:customStyle="1" w:styleId="GreenFooter">
    <w:name w:val="Green Footer"/>
    <w:basedOn w:val="Footer"/>
    <w:rsid w:val="00477C46"/>
    <w:pPr>
      <w:spacing w:before="60" w:after="80"/>
    </w:pPr>
    <w:rPr>
      <w:b/>
      <w:color w:val="00755C"/>
    </w:rPr>
  </w:style>
  <w:style w:type="paragraph" w:styleId="z-TopofForm">
    <w:name w:val="HTML Top of Form"/>
    <w:basedOn w:val="Normal"/>
    <w:next w:val="Normal"/>
    <w:hidden/>
    <w:rsid w:val="00C863B7"/>
    <w:pPr>
      <w:pBdr>
        <w:bottom w:val="single" w:sz="6" w:space="1" w:color="auto"/>
      </w:pBdr>
      <w:spacing w:after="0"/>
      <w:jc w:val="center"/>
    </w:pPr>
    <w:rPr>
      <w:rFonts w:cs="Arial"/>
      <w:vanish/>
      <w:sz w:val="16"/>
      <w:szCs w:val="16"/>
    </w:rPr>
  </w:style>
  <w:style w:type="paragraph" w:styleId="z-BottomofForm">
    <w:name w:val="HTML Bottom of Form"/>
    <w:basedOn w:val="Normal"/>
    <w:next w:val="Normal"/>
    <w:hidden/>
    <w:rsid w:val="00C863B7"/>
    <w:pPr>
      <w:pBdr>
        <w:top w:val="single" w:sz="6" w:space="1" w:color="auto"/>
      </w:pBdr>
      <w:spacing w:after="0"/>
      <w:jc w:val="center"/>
    </w:pPr>
    <w:rPr>
      <w:rFonts w:cs="Arial"/>
      <w:vanish/>
      <w:sz w:val="16"/>
      <w:szCs w:val="16"/>
    </w:rPr>
  </w:style>
  <w:style w:type="paragraph" w:customStyle="1" w:styleId="Heading1Italic">
    <w:name w:val="Heading 1 (Italic)"/>
    <w:basedOn w:val="Heading1Normal"/>
    <w:next w:val="Normal"/>
    <w:rsid w:val="002B49A8"/>
    <w:rPr>
      <w:i/>
    </w:rPr>
  </w:style>
  <w:style w:type="paragraph" w:customStyle="1" w:styleId="Heading2Italic">
    <w:name w:val="Heading 2 (Italic)"/>
    <w:basedOn w:val="Heading2Normal"/>
    <w:next w:val="Normal"/>
    <w:rsid w:val="002B49A8"/>
    <w:rPr>
      <w:i/>
    </w:rPr>
  </w:style>
  <w:style w:type="paragraph" w:customStyle="1" w:styleId="TechMemoHeading">
    <w:name w:val="TechMemo Heading"/>
    <w:basedOn w:val="Header"/>
    <w:next w:val="Normal"/>
    <w:rsid w:val="00150B0F"/>
    <w:pPr>
      <w:spacing w:line="300" w:lineRule="exact"/>
      <w:jc w:val="right"/>
    </w:pPr>
    <w:rPr>
      <w:b/>
      <w:caps/>
      <w:sz w:val="28"/>
      <w:szCs w:val="32"/>
    </w:rPr>
  </w:style>
  <w:style w:type="paragraph" w:styleId="Caption">
    <w:name w:val="caption"/>
    <w:basedOn w:val="Normal"/>
    <w:next w:val="Normal"/>
    <w:qFormat/>
    <w:rsid w:val="005F6A44"/>
    <w:pPr>
      <w:spacing w:before="120" w:line="280" w:lineRule="atLeast"/>
    </w:pPr>
    <w:rPr>
      <w:b/>
      <w:bCs/>
      <w:szCs w:val="20"/>
    </w:rPr>
  </w:style>
  <w:style w:type="paragraph" w:customStyle="1" w:styleId="GAcaption">
    <w:name w:val="GA caption"/>
    <w:basedOn w:val="Caption"/>
    <w:next w:val="Normal"/>
    <w:rsid w:val="009D6661"/>
    <w:pPr>
      <w:spacing w:before="0" w:after="0" w:line="200" w:lineRule="atLeast"/>
    </w:pPr>
  </w:style>
  <w:style w:type="paragraph" w:customStyle="1" w:styleId="GANumberedHeading1">
    <w:name w:val="GA Numbered Heading 1"/>
    <w:basedOn w:val="Normal"/>
    <w:next w:val="Normal"/>
    <w:rsid w:val="002B49A8"/>
    <w:pPr>
      <w:keepNext/>
      <w:numPr>
        <w:numId w:val="19"/>
      </w:numPr>
      <w:spacing w:after="80"/>
      <w:outlineLvl w:val="0"/>
    </w:pPr>
    <w:rPr>
      <w:b/>
      <w:caps/>
      <w:sz w:val="24"/>
      <w:szCs w:val="24"/>
    </w:rPr>
  </w:style>
  <w:style w:type="paragraph" w:customStyle="1" w:styleId="GANumberedHeading2">
    <w:name w:val="GA Numbered Heading 2"/>
    <w:basedOn w:val="Normal"/>
    <w:next w:val="Normal"/>
    <w:rsid w:val="002B49A8"/>
    <w:pPr>
      <w:keepNext/>
      <w:numPr>
        <w:ilvl w:val="1"/>
        <w:numId w:val="19"/>
      </w:numPr>
      <w:tabs>
        <w:tab w:val="left" w:pos="907"/>
      </w:tabs>
      <w:spacing w:after="80"/>
      <w:outlineLvl w:val="1"/>
    </w:pPr>
    <w:rPr>
      <w:b/>
      <w:sz w:val="24"/>
      <w:szCs w:val="24"/>
    </w:rPr>
  </w:style>
  <w:style w:type="paragraph" w:customStyle="1" w:styleId="GANumberedHeading3">
    <w:name w:val="GA Numbered Heading 3"/>
    <w:basedOn w:val="Normal"/>
    <w:next w:val="Normal"/>
    <w:rsid w:val="002B49A8"/>
    <w:pPr>
      <w:keepNext/>
      <w:numPr>
        <w:ilvl w:val="2"/>
        <w:numId w:val="19"/>
      </w:numPr>
      <w:tabs>
        <w:tab w:val="left" w:pos="1021"/>
      </w:tabs>
      <w:spacing w:after="80"/>
      <w:outlineLvl w:val="2"/>
    </w:pPr>
    <w:rPr>
      <w:b/>
      <w:sz w:val="22"/>
    </w:rPr>
  </w:style>
  <w:style w:type="paragraph" w:customStyle="1" w:styleId="GANumberedHeading4">
    <w:name w:val="GA Numbered Heading 4"/>
    <w:basedOn w:val="Normal"/>
    <w:next w:val="Normal"/>
    <w:rsid w:val="002B49A8"/>
    <w:pPr>
      <w:keepNext/>
      <w:numPr>
        <w:ilvl w:val="3"/>
        <w:numId w:val="19"/>
      </w:numPr>
      <w:tabs>
        <w:tab w:val="left" w:pos="1247"/>
      </w:tabs>
      <w:spacing w:after="80"/>
      <w:outlineLvl w:val="3"/>
    </w:pPr>
    <w:rPr>
      <w:b/>
      <w:i/>
      <w:sz w:val="22"/>
      <w:szCs w:val="24"/>
    </w:rPr>
  </w:style>
  <w:style w:type="paragraph" w:customStyle="1" w:styleId="GANumberedHeading5">
    <w:name w:val="GA Numbered Heading 5"/>
    <w:basedOn w:val="Normal"/>
    <w:next w:val="Normal"/>
    <w:rsid w:val="002B49A8"/>
    <w:pPr>
      <w:keepNext/>
      <w:numPr>
        <w:ilvl w:val="4"/>
        <w:numId w:val="19"/>
      </w:numPr>
      <w:tabs>
        <w:tab w:val="left" w:pos="1418"/>
      </w:tabs>
      <w:spacing w:after="80"/>
      <w:outlineLvl w:val="4"/>
    </w:pPr>
    <w:rPr>
      <w:b/>
    </w:rPr>
  </w:style>
  <w:style w:type="paragraph" w:customStyle="1" w:styleId="GANumberedHeading6">
    <w:name w:val="GA Numbered Heading 6"/>
    <w:basedOn w:val="Normal"/>
    <w:next w:val="Normal"/>
    <w:rsid w:val="002B49A8"/>
    <w:pPr>
      <w:keepNext/>
      <w:numPr>
        <w:ilvl w:val="5"/>
        <w:numId w:val="19"/>
      </w:numPr>
      <w:tabs>
        <w:tab w:val="left" w:pos="1588"/>
      </w:tabs>
      <w:spacing w:after="80"/>
      <w:outlineLvl w:val="5"/>
    </w:pPr>
    <w:rPr>
      <w:b/>
      <w:i/>
    </w:rPr>
  </w:style>
  <w:style w:type="paragraph" w:customStyle="1" w:styleId="Initials">
    <w:name w:val="Initials"/>
    <w:basedOn w:val="Normal"/>
    <w:rsid w:val="005F6A44"/>
    <w:pPr>
      <w:spacing w:after="0" w:line="200" w:lineRule="atLeast"/>
    </w:pPr>
    <w:rPr>
      <w:sz w:val="18"/>
      <w:szCs w:val="24"/>
    </w:rPr>
  </w:style>
  <w:style w:type="paragraph" w:customStyle="1" w:styleId="SpacerRows">
    <w:name w:val="Spacer Rows"/>
    <w:basedOn w:val="Normal"/>
    <w:rsid w:val="003C6541"/>
    <w:pPr>
      <w:framePr w:hSpace="181" w:wrap="around" w:vAnchor="page" w:hAnchor="page" w:x="1419" w:y="2269"/>
      <w:spacing w:line="80" w:lineRule="atLeast"/>
    </w:pPr>
    <w:rPr>
      <w:sz w:val="8"/>
      <w:szCs w:val="8"/>
    </w:rPr>
  </w:style>
  <w:style w:type="paragraph" w:customStyle="1" w:styleId="Heading1Normal">
    <w:name w:val="Heading 1 Normal"/>
    <w:basedOn w:val="Normal"/>
    <w:next w:val="Normal"/>
    <w:rsid w:val="00E9721D"/>
    <w:pPr>
      <w:keepNext/>
      <w:spacing w:after="80"/>
      <w:outlineLvl w:val="0"/>
    </w:pPr>
    <w:rPr>
      <w:b/>
      <w:sz w:val="24"/>
    </w:rPr>
  </w:style>
  <w:style w:type="paragraph" w:customStyle="1" w:styleId="AwardsFooter">
    <w:name w:val="Awards Footer"/>
    <w:basedOn w:val="Footer"/>
    <w:next w:val="Footer"/>
    <w:rsid w:val="007E5C4A"/>
    <w:pPr>
      <w:spacing w:after="2280"/>
      <w:jc w:val="left"/>
    </w:pPr>
  </w:style>
  <w:style w:type="paragraph" w:customStyle="1" w:styleId="Heading2Normal">
    <w:name w:val="Heading 2 Normal"/>
    <w:basedOn w:val="Normal"/>
    <w:next w:val="Normal"/>
    <w:rsid w:val="00E9721D"/>
    <w:pPr>
      <w:keepNext/>
      <w:spacing w:after="80"/>
      <w:outlineLvl w:val="1"/>
    </w:pPr>
    <w:rPr>
      <w:b/>
      <w:sz w:val="22"/>
    </w:rPr>
  </w:style>
  <w:style w:type="paragraph" w:customStyle="1" w:styleId="Distribution">
    <w:name w:val="Distribution"/>
    <w:basedOn w:val="Normal"/>
    <w:next w:val="Normal"/>
    <w:rsid w:val="002F2C1F"/>
    <w:pPr>
      <w:spacing w:after="0"/>
    </w:pPr>
    <w:rPr>
      <w:b/>
      <w:bCs/>
      <w:szCs w:val="20"/>
    </w:rPr>
  </w:style>
  <w:style w:type="paragraph" w:customStyle="1" w:styleId="StyleDistribution">
    <w:name w:val="Style Distribution +"/>
    <w:basedOn w:val="Distribution"/>
    <w:rsid w:val="00EB1A6C"/>
  </w:style>
  <w:style w:type="paragraph" w:customStyle="1" w:styleId="CaptionFigures">
    <w:name w:val="Caption Figures"/>
    <w:basedOn w:val="Caption"/>
    <w:next w:val="Normal"/>
    <w:rsid w:val="00E708CD"/>
    <w:pPr>
      <w:tabs>
        <w:tab w:val="left" w:pos="851"/>
      </w:tabs>
      <w:spacing w:before="0" w:after="200" w:line="240" w:lineRule="auto"/>
    </w:pPr>
    <w:rPr>
      <w:b w:val="0"/>
      <w:i/>
      <w:color w:val="00755C"/>
      <w:sz w:val="18"/>
      <w:szCs w:val="18"/>
    </w:rPr>
  </w:style>
  <w:style w:type="paragraph" w:customStyle="1" w:styleId="noawardsfooter">
    <w:name w:val="no awards footer"/>
    <w:basedOn w:val="Footer"/>
    <w:rsid w:val="007E5C4A"/>
    <w:pPr>
      <w:spacing w:after="1320"/>
      <w:jc w:val="left"/>
    </w:pPr>
  </w:style>
  <w:style w:type="paragraph" w:customStyle="1" w:styleId="GeometrikEngSmall">
    <w:name w:val="GeometrikEng Small"/>
    <w:rsid w:val="0018559D"/>
    <w:pPr>
      <w:tabs>
        <w:tab w:val="center" w:pos="4252"/>
        <w:tab w:val="right" w:pos="8504"/>
      </w:tabs>
      <w:spacing w:before="120" w:after="80"/>
      <w:ind w:left="-2041"/>
      <w:jc w:val="center"/>
    </w:pPr>
    <w:rPr>
      <w:rFonts w:ascii="Arial" w:hAnsi="Arial"/>
      <w:b/>
      <w:sz w:val="16"/>
      <w:szCs w:val="16"/>
      <w:lang w:eastAsia="en-US"/>
    </w:rPr>
  </w:style>
  <w:style w:type="paragraph" w:styleId="FootnoteText">
    <w:name w:val="footnote text"/>
    <w:basedOn w:val="Normal"/>
    <w:rsid w:val="00903FC2"/>
    <w:pPr>
      <w:spacing w:after="80" w:line="240" w:lineRule="auto"/>
    </w:pPr>
    <w:rPr>
      <w:sz w:val="12"/>
      <w:szCs w:val="20"/>
    </w:rPr>
  </w:style>
  <w:style w:type="paragraph" w:styleId="BalloonText">
    <w:name w:val="Balloon Text"/>
    <w:basedOn w:val="Normal"/>
    <w:link w:val="BalloonTextChar"/>
    <w:uiPriority w:val="99"/>
    <w:semiHidden/>
    <w:unhideWhenUsed/>
    <w:rsid w:val="007100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00CB"/>
    <w:rPr>
      <w:rFonts w:ascii="Tahoma" w:hAnsi="Tahoma" w:cs="Tahoma"/>
      <w:sz w:val="16"/>
      <w:szCs w:val="16"/>
      <w:lang w:eastAsia="en-US"/>
    </w:rPr>
  </w:style>
  <w:style w:type="paragraph" w:customStyle="1" w:styleId="CaptionTables">
    <w:name w:val="Caption Tables"/>
    <w:basedOn w:val="Caption"/>
    <w:next w:val="Normal"/>
    <w:rsid w:val="005A474D"/>
    <w:pPr>
      <w:tabs>
        <w:tab w:val="left" w:pos="851"/>
      </w:tabs>
      <w:spacing w:before="0" w:after="0" w:line="240" w:lineRule="auto"/>
    </w:pPr>
    <w:rPr>
      <w:szCs w:val="22"/>
    </w:rPr>
  </w:style>
  <w:style w:type="paragraph" w:customStyle="1" w:styleId="NoAwardsFooter0">
    <w:name w:val="No Awards Footer"/>
    <w:basedOn w:val="Normal"/>
    <w:rsid w:val="00720683"/>
    <w:pPr>
      <w:spacing w:after="1320" w:line="240" w:lineRule="auto"/>
    </w:pPr>
  </w:style>
  <w:style w:type="paragraph" w:customStyle="1" w:styleId="TableHeaderRow">
    <w:name w:val="Table Header Row"/>
    <w:basedOn w:val="Normal"/>
    <w:rsid w:val="00720683"/>
    <w:pPr>
      <w:spacing w:before="80" w:after="80" w:line="240" w:lineRule="auto"/>
    </w:pPr>
    <w:rPr>
      <w:b/>
      <w:szCs w:val="24"/>
    </w:rPr>
  </w:style>
  <w:style w:type="paragraph" w:customStyle="1" w:styleId="SectionBreak">
    <w:name w:val="Section Break"/>
    <w:basedOn w:val="Normal"/>
    <w:rsid w:val="00293E6D"/>
    <w:pPr>
      <w:spacing w:after="0" w:line="240" w:lineRule="auto"/>
    </w:pPr>
  </w:style>
  <w:style w:type="character" w:styleId="FootnoteReference">
    <w:name w:val="footnote reference"/>
    <w:basedOn w:val="DefaultParagraphFont"/>
    <w:rsid w:val="00F83AC3"/>
    <w:rPr>
      <w:vertAlign w:val="superscript"/>
    </w:rPr>
  </w:style>
  <w:style w:type="paragraph" w:styleId="DocumentMap">
    <w:name w:val="Document Map"/>
    <w:basedOn w:val="Normal"/>
    <w:link w:val="DocumentMapChar"/>
    <w:uiPriority w:val="99"/>
    <w:semiHidden/>
    <w:unhideWhenUsed/>
    <w:rsid w:val="00305D0F"/>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305D0F"/>
    <w:rPr>
      <w:rFonts w:ascii="Tahoma" w:hAnsi="Tahoma" w:cs="Tahoma"/>
      <w:sz w:val="16"/>
      <w:szCs w:val="16"/>
      <w:lang w:val="en-AU"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43664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footer" Target="footer1.xml"/><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foot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Golder%20Global\2007\W07%20Technical%20Memo%20AU%20A4.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88F179-240E-4258-B583-22A15F1541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W07 Technical Memo AU A4.dotm</Template>
  <TotalTime>3</TotalTime>
  <Pages>7</Pages>
  <Words>1973</Words>
  <Characters>11066</Characters>
  <Application>Microsoft Office Word</Application>
  <DocSecurity>0</DocSecurity>
  <Lines>92</Lines>
  <Paragraphs>26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Enter filename</vt:lpstr>
      <vt:lpstr>Enter filename</vt:lpstr>
    </vt:vector>
  </TitlesOfParts>
  <Company>Transland Consultants Ltd.</Company>
  <LinksUpToDate>false</LinksUpToDate>
  <CharactersWithSpaces>13013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Enter filename</dc:title>
  <dc:creator>KChakhova</dc:creator>
  <cp:lastModifiedBy>EDonovan</cp:lastModifiedBy>
  <cp:revision>3</cp:revision>
  <cp:lastPrinted>2012-07-12T02:24:00Z</cp:lastPrinted>
  <dcterms:created xsi:type="dcterms:W3CDTF">2012-07-12T02:23:00Z</dcterms:created>
  <dcterms:modified xsi:type="dcterms:W3CDTF">2012-07-12T02:25:00Z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gnatory">
    <vt:lpwstr>Alice Greenhill</vt:lpwstr>
  </property>
  <property fmtid="{D5CDD505-2E9C-101B-9397-08002B2CF9AE}" pid="3" name="Approved Signatory">
    <vt:lpwstr>Cary Ehrman</vt:lpwstr>
  </property>
  <property fmtid="{D5CDD505-2E9C-101B-9397-08002B2CF9AE}" pid="4" name="Approved Signatory Title">
    <vt:lpwstr>Associate</vt:lpwstr>
  </property>
  <property fmtid="{D5CDD505-2E9C-101B-9397-08002B2CF9AE}" pid="5" name="Project">
    <vt:lpwstr>127613050 002 TM RevA</vt:lpwstr>
  </property>
  <property fmtid="{D5CDD505-2E9C-101B-9397-08002B2CF9AE}" pid="6" name="email_address">
    <vt:lpwstr>cehrman@golder.com.au</vt:lpwstr>
  </property>
  <property fmtid="{D5CDD505-2E9C-101B-9397-08002B2CF9AE}" pid="7" name="Domain">
    <vt:lpwstr>Domain name</vt:lpwstr>
  </property>
  <property fmtid="{D5CDD505-2E9C-101B-9397-08002B2CF9AE}" pid="8" name="Company Name">
    <vt:lpwstr>Company</vt:lpwstr>
  </property>
  <property fmtid="{D5CDD505-2E9C-101B-9397-08002B2CF9AE}" pid="9" name="date">
    <vt:lpwstr>12 July 2012</vt:lpwstr>
  </property>
  <property fmtid="{D5CDD505-2E9C-101B-9397-08002B2CF9AE}" pid="10" name="TypeofNumber">
    <vt:lpwstr>Reference</vt:lpwstr>
  </property>
  <property fmtid="{D5CDD505-2E9C-101B-9397-08002B2CF9AE}" pid="11" name="Memo_to">
    <vt:lpwstr>Hari Kiran Vadlamani </vt:lpwstr>
  </property>
  <property fmtid="{D5CDD505-2E9C-101B-9397-08002B2CF9AE}" pid="12" name="Memo_Copy">
    <vt:lpwstr>Rebecca Powlett, Alice Greenhill, Cameron Robertson, Grant Fleming</vt:lpwstr>
  </property>
  <property fmtid="{D5CDD505-2E9C-101B-9397-08002B2CF9AE}" pid="13" name="Memo_From">
    <vt:lpwstr>Cary Ehrman</vt:lpwstr>
  </property>
  <property fmtid="{D5CDD505-2E9C-101B-9397-08002B2CF9AE}" pid="14" name="Recipient Company">
    <vt:lpwstr>Indicoal Mining Australia Pty Ltd</vt:lpwstr>
  </property>
  <property fmtid="{D5CDD505-2E9C-101B-9397-08002B2CF9AE}" pid="15" name="Signatory Title">
    <vt:lpwstr>Environmental Scientist</vt:lpwstr>
  </property>
  <property fmtid="{D5CDD505-2E9C-101B-9397-08002B2CF9AE}" pid="16" name="Initials">
    <vt:lpwstr>ALG/CLE/alg-cle</vt:lpwstr>
  </property>
  <property fmtid="{D5CDD505-2E9C-101B-9397-08002B2CF9AE}" pid="17" name="ToggleRecycle">
    <vt:bool>false</vt:bool>
  </property>
  <property fmtid="{D5CDD505-2E9C-101B-9397-08002B2CF9AE}" pid="18" name="ToggleAwards">
    <vt:bool>false</vt:bool>
  </property>
  <property fmtid="{D5CDD505-2E9C-101B-9397-08002B2CF9AE}" pid="19" name="ToggleDraft">
    <vt:bool>false</vt:bool>
  </property>
  <property fmtid="{D5CDD505-2E9C-101B-9397-08002B2CF9AE}" pid="20" name="strDraftSet">
    <vt:lpwstr>Nothing</vt:lpwstr>
  </property>
</Properties>
</file>